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0586" w14:textId="77777777" w:rsidR="00902CC6" w:rsidRPr="0060379D" w:rsidRDefault="00F5080C" w:rsidP="00902CC6">
      <w:pPr>
        <w:pStyle w:val="Title"/>
        <w:rPr>
          <w:sz w:val="32"/>
          <w:szCs w:val="32"/>
        </w:rPr>
      </w:pPr>
      <w:r>
        <w:rPr>
          <w:sz w:val="32"/>
          <w:szCs w:val="32"/>
          <w:lang w:val="en-ID"/>
        </w:rPr>
        <w:t xml:space="preserve">Title of </w:t>
      </w:r>
      <w:r w:rsidR="000976E2">
        <w:rPr>
          <w:sz w:val="32"/>
          <w:szCs w:val="32"/>
          <w:lang w:val="en-ID"/>
        </w:rPr>
        <w:t>research article</w:t>
      </w:r>
      <w:r w:rsidR="000976E2" w:rsidRPr="0060379D">
        <w:rPr>
          <w:iCs/>
          <w:sz w:val="32"/>
          <w:szCs w:val="32"/>
          <w:lang w:val="en-US"/>
        </w:rPr>
        <w:t xml:space="preserve"> </w:t>
      </w:r>
      <w:r w:rsidR="00902CC6" w:rsidRPr="0060379D">
        <w:rPr>
          <w:sz w:val="32"/>
          <w:szCs w:val="32"/>
        </w:rPr>
        <w:t xml:space="preserve">(Center, </w:t>
      </w:r>
      <w:proofErr w:type="spellStart"/>
      <w:r w:rsidR="00902CC6" w:rsidRPr="0060379D">
        <w:rPr>
          <w:sz w:val="32"/>
          <w:szCs w:val="32"/>
        </w:rPr>
        <w:t>Bold</w:t>
      </w:r>
      <w:proofErr w:type="spellEnd"/>
      <w:r w:rsidR="00902CC6" w:rsidRPr="0060379D">
        <w:rPr>
          <w:sz w:val="32"/>
          <w:szCs w:val="32"/>
        </w:rPr>
        <w:t>, 16</w:t>
      </w:r>
      <w:proofErr w:type="spellStart"/>
      <w:r w:rsidR="00902CC6" w:rsidRPr="0060379D">
        <w:rPr>
          <w:sz w:val="32"/>
          <w:szCs w:val="32"/>
          <w:lang w:val="en-US"/>
        </w:rPr>
        <w:t>pt</w:t>
      </w:r>
      <w:proofErr w:type="spellEnd"/>
      <w:r w:rsidR="00902CC6" w:rsidRPr="0060379D">
        <w:rPr>
          <w:sz w:val="32"/>
          <w:szCs w:val="32"/>
        </w:rPr>
        <w:t>)</w:t>
      </w:r>
    </w:p>
    <w:p w14:paraId="65B89E79" w14:textId="77777777" w:rsidR="00902CC6" w:rsidRDefault="00902CC6" w:rsidP="00902CC6">
      <w:pPr>
        <w:jc w:val="center"/>
        <w:rPr>
          <w:b/>
          <w:bCs/>
        </w:rPr>
      </w:pPr>
    </w:p>
    <w:p w14:paraId="76A47C05" w14:textId="77777777" w:rsidR="00902CC6" w:rsidRPr="003D5B84" w:rsidRDefault="00902CC6" w:rsidP="00902CC6">
      <w:pPr>
        <w:jc w:val="center"/>
        <w:rPr>
          <w:b/>
          <w:bCs/>
        </w:rPr>
      </w:pPr>
    </w:p>
    <w:p w14:paraId="1F36B385" w14:textId="77777777" w:rsidR="00902CC6" w:rsidRPr="00D74C5F" w:rsidRDefault="00CA42C4" w:rsidP="00902CC6">
      <w:pPr>
        <w:jc w:val="center"/>
        <w:rPr>
          <w:b/>
          <w:bCs/>
        </w:rPr>
      </w:pPr>
      <w:r>
        <w:rPr>
          <w:b/>
          <w:bCs/>
        </w:rPr>
        <w:t>First</w:t>
      </w:r>
      <w:r w:rsidR="00902CC6" w:rsidRPr="0093175D">
        <w:rPr>
          <w:b/>
          <w:bCs/>
        </w:rPr>
        <w:t xml:space="preserve"> </w:t>
      </w:r>
      <w:r>
        <w:rPr>
          <w:b/>
          <w:bCs/>
        </w:rPr>
        <w:t>Author</w:t>
      </w:r>
      <w:r w:rsidR="0047616C">
        <w:rPr>
          <w:b/>
          <w:bCs/>
        </w:rPr>
        <w:t xml:space="preserve"> Name</w:t>
      </w:r>
      <w:r w:rsidR="00902CC6">
        <w:rPr>
          <w:b/>
          <w:bCs/>
          <w:vertAlign w:val="superscript"/>
        </w:rPr>
        <w:t>1</w:t>
      </w:r>
      <w:r w:rsidR="008D57ED">
        <w:rPr>
          <w:b/>
          <w:bCs/>
          <w:vertAlign w:val="superscript"/>
        </w:rPr>
        <w:t>*</w:t>
      </w:r>
      <w:r w:rsidR="00902CC6">
        <w:rPr>
          <w:b/>
          <w:bCs/>
        </w:rPr>
        <w:t xml:space="preserve">, </w:t>
      </w:r>
      <w:r>
        <w:rPr>
          <w:b/>
          <w:bCs/>
        </w:rPr>
        <w:t>Second</w:t>
      </w:r>
      <w:r w:rsidR="00902CC6" w:rsidRPr="00EA2B1D">
        <w:rPr>
          <w:b/>
          <w:bCs/>
          <w:lang w:val="id-ID"/>
        </w:rPr>
        <w:t xml:space="preserve"> </w:t>
      </w:r>
      <w:r>
        <w:rPr>
          <w:b/>
          <w:bCs/>
        </w:rPr>
        <w:t>Author</w:t>
      </w:r>
      <w:r w:rsidR="008D57ED">
        <w:rPr>
          <w:b/>
          <w:bCs/>
          <w:vertAlign w:val="superscript"/>
        </w:rPr>
        <w:t>2</w:t>
      </w:r>
      <w:r w:rsidR="00902CC6" w:rsidRPr="003D5B84">
        <w:rPr>
          <w:b/>
          <w:bCs/>
          <w:lang w:val="id-ID"/>
        </w:rPr>
        <w:t xml:space="preserve">, </w:t>
      </w:r>
      <w:r>
        <w:rPr>
          <w:b/>
          <w:bCs/>
        </w:rPr>
        <w:t>Third Author</w:t>
      </w:r>
      <w:r w:rsidR="00902CC6">
        <w:rPr>
          <w:b/>
          <w:bCs/>
          <w:vertAlign w:val="superscript"/>
        </w:rPr>
        <w:t>3</w:t>
      </w:r>
      <w:r w:rsidR="00902CC6">
        <w:rPr>
          <w:b/>
          <w:bCs/>
        </w:rPr>
        <w:t xml:space="preserve"> (10pt)</w:t>
      </w:r>
      <w:r w:rsidR="009D59C9" w:rsidRPr="009D59C9">
        <w:rPr>
          <w:b/>
          <w:noProof/>
          <w:color w:val="000000"/>
          <w:sz w:val="24"/>
          <w:szCs w:val="24"/>
        </w:rPr>
        <w:t xml:space="preserve"> </w:t>
      </w:r>
      <w:r w:rsidR="009D59C9">
        <w:rPr>
          <w:b/>
          <w:noProof/>
          <w:color w:val="000000"/>
          <w:sz w:val="24"/>
          <w:szCs w:val="24"/>
        </w:rPr>
        <w:drawing>
          <wp:inline distT="0" distB="0" distL="0" distR="0" wp14:anchorId="4AAA514C" wp14:editId="02FDB4F1">
            <wp:extent cx="118800" cy="118800"/>
            <wp:effectExtent l="0" t="0" r="0" b="0"/>
            <wp:docPr id="1957612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7026" t="37015" r="37033" b="37048"/>
                    <a:stretch>
                      <a:fillRect/>
                    </a:stretch>
                  </pic:blipFill>
                  <pic:spPr>
                    <a:xfrm>
                      <a:off x="0" y="0"/>
                      <a:ext cx="118800" cy="118800"/>
                    </a:xfrm>
                    <a:prstGeom prst="rect">
                      <a:avLst/>
                    </a:prstGeom>
                    <a:ln/>
                  </pic:spPr>
                </pic:pic>
              </a:graphicData>
            </a:graphic>
          </wp:inline>
        </w:drawing>
      </w:r>
    </w:p>
    <w:p w14:paraId="1091B7C8" w14:textId="77777777" w:rsidR="00902CC6" w:rsidRDefault="00902CC6" w:rsidP="00902CC6">
      <w:pPr>
        <w:jc w:val="center"/>
        <w:rPr>
          <w:sz w:val="16"/>
          <w:szCs w:val="16"/>
        </w:rPr>
      </w:pPr>
      <w:r>
        <w:rPr>
          <w:sz w:val="16"/>
          <w:szCs w:val="16"/>
          <w:vertAlign w:val="superscript"/>
        </w:rPr>
        <w:t>1</w:t>
      </w:r>
      <w:r w:rsidR="00CA42C4">
        <w:rPr>
          <w:sz w:val="16"/>
          <w:szCs w:val="16"/>
        </w:rPr>
        <w:t xml:space="preserve">Department of </w:t>
      </w:r>
      <w:r w:rsidR="008D57ED">
        <w:rPr>
          <w:sz w:val="16"/>
          <w:szCs w:val="16"/>
        </w:rPr>
        <w:t>Informatics Engineering</w:t>
      </w:r>
      <w:r w:rsidRPr="0093175D">
        <w:rPr>
          <w:sz w:val="16"/>
          <w:szCs w:val="16"/>
        </w:rPr>
        <w:t xml:space="preserve">, </w:t>
      </w:r>
      <w:proofErr w:type="spellStart"/>
      <w:r w:rsidR="008D57ED">
        <w:rPr>
          <w:sz w:val="16"/>
          <w:szCs w:val="16"/>
        </w:rPr>
        <w:t>Nahdlatul</w:t>
      </w:r>
      <w:proofErr w:type="spellEnd"/>
      <w:r w:rsidR="008D57ED">
        <w:rPr>
          <w:sz w:val="16"/>
          <w:szCs w:val="16"/>
        </w:rPr>
        <w:t xml:space="preserve"> Ulama University of Indonesia</w:t>
      </w:r>
      <w:r w:rsidRPr="0093175D">
        <w:rPr>
          <w:sz w:val="16"/>
          <w:szCs w:val="16"/>
        </w:rPr>
        <w:t xml:space="preserve">, </w:t>
      </w:r>
      <w:r w:rsidR="008D57ED">
        <w:rPr>
          <w:sz w:val="16"/>
          <w:szCs w:val="16"/>
        </w:rPr>
        <w:t>Jakarta</w:t>
      </w:r>
      <w:r>
        <w:rPr>
          <w:sz w:val="16"/>
          <w:szCs w:val="16"/>
        </w:rPr>
        <w:t xml:space="preserve">, </w:t>
      </w:r>
      <w:r w:rsidR="008D57ED">
        <w:rPr>
          <w:sz w:val="16"/>
          <w:szCs w:val="16"/>
        </w:rPr>
        <w:t>Indonesia</w:t>
      </w:r>
      <w:r>
        <w:rPr>
          <w:sz w:val="16"/>
          <w:szCs w:val="16"/>
        </w:rPr>
        <w:t xml:space="preserve"> </w:t>
      </w:r>
      <w:r w:rsidRPr="00EA2B1D">
        <w:rPr>
          <w:sz w:val="16"/>
          <w:szCs w:val="16"/>
        </w:rPr>
        <w:t>(</w:t>
      </w:r>
      <w:r w:rsidRPr="00E554F6">
        <w:rPr>
          <w:sz w:val="16"/>
          <w:szCs w:val="16"/>
        </w:rPr>
        <w:t>8pt)</w:t>
      </w:r>
    </w:p>
    <w:p w14:paraId="41442B8E" w14:textId="77777777" w:rsidR="00902CC6" w:rsidRDefault="00CA42C4" w:rsidP="00902CC6">
      <w:pPr>
        <w:jc w:val="center"/>
        <w:rPr>
          <w:sz w:val="16"/>
          <w:szCs w:val="16"/>
        </w:rPr>
      </w:pPr>
      <w:r>
        <w:rPr>
          <w:sz w:val="16"/>
          <w:szCs w:val="16"/>
          <w:vertAlign w:val="superscript"/>
        </w:rPr>
        <w:t>2,3</w:t>
      </w:r>
      <w:r w:rsidR="00902CC6" w:rsidRPr="0093175D">
        <w:rPr>
          <w:sz w:val="16"/>
          <w:szCs w:val="16"/>
        </w:rPr>
        <w:t xml:space="preserve">Department of </w:t>
      </w:r>
      <w:r w:rsidR="008D57ED">
        <w:rPr>
          <w:sz w:val="16"/>
          <w:szCs w:val="16"/>
        </w:rPr>
        <w:t>Information Systems</w:t>
      </w:r>
      <w:r w:rsidR="00902CC6">
        <w:rPr>
          <w:sz w:val="16"/>
          <w:szCs w:val="16"/>
        </w:rPr>
        <w:t xml:space="preserve">, </w:t>
      </w:r>
      <w:r w:rsidR="008D57ED" w:rsidRPr="008D57ED">
        <w:rPr>
          <w:sz w:val="16"/>
          <w:szCs w:val="16"/>
        </w:rPr>
        <w:t>Kalimantan Institute of Technology</w:t>
      </w:r>
      <w:r w:rsidR="00902CC6">
        <w:rPr>
          <w:sz w:val="16"/>
          <w:szCs w:val="16"/>
        </w:rPr>
        <w:t xml:space="preserve">, </w:t>
      </w:r>
      <w:r w:rsidR="008D57ED">
        <w:rPr>
          <w:sz w:val="16"/>
          <w:szCs w:val="16"/>
        </w:rPr>
        <w:t>Balikpapan</w:t>
      </w:r>
      <w:r w:rsidR="00902CC6">
        <w:rPr>
          <w:sz w:val="16"/>
          <w:szCs w:val="16"/>
        </w:rPr>
        <w:t xml:space="preserve">, </w:t>
      </w:r>
      <w:r w:rsidR="008D57ED">
        <w:rPr>
          <w:sz w:val="16"/>
          <w:szCs w:val="16"/>
        </w:rPr>
        <w:t>Indonesia</w:t>
      </w:r>
    </w:p>
    <w:p w14:paraId="6F47AD64" w14:textId="77777777" w:rsidR="00D357C6" w:rsidRPr="00E554F6" w:rsidRDefault="00D357C6" w:rsidP="00530E42">
      <w:pPr>
        <w:spacing w:before="120"/>
        <w:jc w:val="center"/>
        <w:rPr>
          <w:sz w:val="16"/>
          <w:szCs w:val="16"/>
        </w:rPr>
      </w:pPr>
      <w:r>
        <w:rPr>
          <w:sz w:val="16"/>
          <w:szCs w:val="16"/>
          <w:vertAlign w:val="superscript"/>
        </w:rPr>
        <w:t>1</w:t>
      </w:r>
      <w:r>
        <w:rPr>
          <w:sz w:val="16"/>
          <w:szCs w:val="16"/>
        </w:rPr>
        <w:t xml:space="preserve">firstauthor@mail, </w:t>
      </w:r>
      <w:r>
        <w:rPr>
          <w:sz w:val="16"/>
          <w:szCs w:val="16"/>
          <w:vertAlign w:val="superscript"/>
        </w:rPr>
        <w:t>2</w:t>
      </w:r>
      <w:r>
        <w:rPr>
          <w:sz w:val="16"/>
          <w:szCs w:val="16"/>
        </w:rPr>
        <w:t>secondauthor@mail,</w:t>
      </w:r>
      <w:r w:rsidR="00096881">
        <w:rPr>
          <w:sz w:val="16"/>
          <w:szCs w:val="16"/>
        </w:rPr>
        <w:t xml:space="preserve"> and</w:t>
      </w:r>
      <w:r>
        <w:rPr>
          <w:sz w:val="16"/>
          <w:szCs w:val="16"/>
        </w:rPr>
        <w:t xml:space="preserve"> </w:t>
      </w:r>
      <w:r>
        <w:rPr>
          <w:sz w:val="16"/>
          <w:szCs w:val="16"/>
          <w:vertAlign w:val="superscript"/>
        </w:rPr>
        <w:t>3</w:t>
      </w:r>
      <w:r>
        <w:rPr>
          <w:sz w:val="16"/>
          <w:szCs w:val="16"/>
        </w:rPr>
        <w:t>thirdauthor@mail</w:t>
      </w:r>
    </w:p>
    <w:p w14:paraId="2BD3C81F" w14:textId="77777777" w:rsidR="006928A1" w:rsidRPr="006928A1" w:rsidRDefault="006928A1" w:rsidP="0047616C">
      <w:pPr>
        <w:rPr>
          <w:sz w:val="16"/>
          <w:szCs w:val="16"/>
        </w:rPr>
      </w:pPr>
    </w:p>
    <w:p w14:paraId="76B10B39" w14:textId="77777777" w:rsidR="00902CC6" w:rsidRDefault="00902CC6" w:rsidP="00902CC6">
      <w:pPr>
        <w:jc w:val="center"/>
      </w:pPr>
    </w:p>
    <w:tbl>
      <w:tblPr>
        <w:tblStyle w:val="TableGrid"/>
        <w:tblW w:w="8845" w:type="dxa"/>
        <w:jc w:val="center"/>
        <w:tblLook w:val="04A0" w:firstRow="1" w:lastRow="0" w:firstColumn="1" w:lastColumn="0" w:noHBand="0" w:noVBand="1"/>
      </w:tblPr>
      <w:tblGrid>
        <w:gridCol w:w="2792"/>
        <w:gridCol w:w="282"/>
        <w:gridCol w:w="5771"/>
      </w:tblGrid>
      <w:tr w:rsidR="00902CC6" w14:paraId="0C37C720" w14:textId="77777777" w:rsidTr="001A716F">
        <w:trPr>
          <w:jc w:val="center"/>
        </w:trPr>
        <w:tc>
          <w:tcPr>
            <w:tcW w:w="2792" w:type="dxa"/>
            <w:tcBorders>
              <w:top w:val="double" w:sz="4" w:space="0" w:color="auto"/>
              <w:left w:val="nil"/>
              <w:bottom w:val="single" w:sz="4" w:space="0" w:color="auto"/>
              <w:right w:val="nil"/>
            </w:tcBorders>
          </w:tcPr>
          <w:p w14:paraId="0108923B" w14:textId="77777777" w:rsidR="00902CC6" w:rsidRPr="00957C11" w:rsidRDefault="00183D42" w:rsidP="00C80647">
            <w:pPr>
              <w:spacing w:before="120"/>
              <w:jc w:val="both"/>
              <w:rPr>
                <w:b/>
              </w:rPr>
            </w:pPr>
            <w:r>
              <w:rPr>
                <w:b/>
              </w:rPr>
              <w:t>INFORMATION</w:t>
            </w:r>
          </w:p>
        </w:tc>
        <w:tc>
          <w:tcPr>
            <w:tcW w:w="282" w:type="dxa"/>
            <w:tcBorders>
              <w:top w:val="double" w:sz="4" w:space="0" w:color="auto"/>
              <w:left w:val="nil"/>
              <w:bottom w:val="nil"/>
              <w:right w:val="nil"/>
            </w:tcBorders>
          </w:tcPr>
          <w:p w14:paraId="40DE92F6" w14:textId="77777777" w:rsidR="00902CC6" w:rsidRDefault="00902CC6" w:rsidP="00C80647">
            <w:pPr>
              <w:spacing w:before="120"/>
              <w:jc w:val="center"/>
            </w:pPr>
          </w:p>
        </w:tc>
        <w:tc>
          <w:tcPr>
            <w:tcW w:w="5771" w:type="dxa"/>
            <w:tcBorders>
              <w:top w:val="double" w:sz="4" w:space="0" w:color="auto"/>
              <w:left w:val="nil"/>
              <w:bottom w:val="single" w:sz="4" w:space="0" w:color="auto"/>
              <w:right w:val="nil"/>
            </w:tcBorders>
          </w:tcPr>
          <w:p w14:paraId="35B8C3AE" w14:textId="77777777" w:rsidR="00902CC6" w:rsidRPr="00957C11" w:rsidRDefault="00902CC6" w:rsidP="00C80647">
            <w:pPr>
              <w:spacing w:before="120"/>
              <w:rPr>
                <w:color w:val="000000"/>
                <w:sz w:val="24"/>
                <w:szCs w:val="24"/>
              </w:rPr>
            </w:pPr>
            <w:r w:rsidRPr="00957C11">
              <w:rPr>
                <w:b/>
                <w:bCs/>
                <w:iCs/>
                <w:color w:val="000000"/>
              </w:rPr>
              <w:t>ABSTRACT</w:t>
            </w:r>
          </w:p>
        </w:tc>
      </w:tr>
      <w:tr w:rsidR="00902CC6" w14:paraId="5B438684" w14:textId="77777777" w:rsidTr="001A716F">
        <w:trPr>
          <w:trHeight w:val="1268"/>
          <w:jc w:val="center"/>
        </w:trPr>
        <w:tc>
          <w:tcPr>
            <w:tcW w:w="2792" w:type="dxa"/>
            <w:tcBorders>
              <w:top w:val="single" w:sz="4" w:space="0" w:color="auto"/>
              <w:left w:val="nil"/>
              <w:bottom w:val="single" w:sz="4" w:space="0" w:color="auto"/>
              <w:right w:val="nil"/>
            </w:tcBorders>
          </w:tcPr>
          <w:p w14:paraId="52DED317" w14:textId="77777777" w:rsidR="00902CC6" w:rsidRPr="007F286F" w:rsidRDefault="00902CC6" w:rsidP="00C80647">
            <w:pPr>
              <w:spacing w:before="120" w:after="120"/>
              <w:jc w:val="both"/>
              <w:rPr>
                <w:b/>
                <w:i/>
              </w:rPr>
            </w:pPr>
            <w:r w:rsidRPr="007F286F">
              <w:rPr>
                <w:b/>
                <w:i/>
              </w:rPr>
              <w:t>Article history:</w:t>
            </w:r>
          </w:p>
          <w:p w14:paraId="49550999" w14:textId="77777777" w:rsidR="00902CC6" w:rsidRDefault="00902CC6" w:rsidP="00C80647">
            <w:pPr>
              <w:jc w:val="both"/>
            </w:pPr>
            <w:r w:rsidRPr="00957C11">
              <w:t>Received</w:t>
            </w:r>
            <w:r>
              <w:t xml:space="preserve"> </w:t>
            </w:r>
            <w:r w:rsidRPr="00E554F6">
              <w:t>month</w:t>
            </w:r>
            <w:r w:rsidRPr="00523156">
              <w:t xml:space="preserve"> dd, </w:t>
            </w:r>
            <w:proofErr w:type="spellStart"/>
            <w:r w:rsidRPr="00523156">
              <w:t>yyyy</w:t>
            </w:r>
            <w:proofErr w:type="spellEnd"/>
          </w:p>
          <w:p w14:paraId="5E5E102A" w14:textId="77777777" w:rsidR="00902CC6" w:rsidRDefault="00902CC6" w:rsidP="00C80647">
            <w:pPr>
              <w:jc w:val="both"/>
            </w:pPr>
            <w:r>
              <w:t xml:space="preserve">Revised </w:t>
            </w:r>
            <w:r w:rsidRPr="00E554F6">
              <w:t>month</w:t>
            </w:r>
            <w:r w:rsidRPr="00523156">
              <w:t xml:space="preserve"> dd, </w:t>
            </w:r>
            <w:proofErr w:type="spellStart"/>
            <w:r w:rsidRPr="00523156">
              <w:t>yyyy</w:t>
            </w:r>
            <w:proofErr w:type="spellEnd"/>
          </w:p>
          <w:p w14:paraId="599F1670" w14:textId="77777777" w:rsidR="00902CC6" w:rsidRDefault="00902CC6" w:rsidP="00C80647">
            <w:pPr>
              <w:jc w:val="both"/>
            </w:pPr>
            <w:r>
              <w:t xml:space="preserve">Accepted </w:t>
            </w:r>
            <w:r w:rsidRPr="00E554F6">
              <w:t>month</w:t>
            </w:r>
            <w:r w:rsidRPr="00523156">
              <w:t xml:space="preserve"> dd, </w:t>
            </w:r>
            <w:proofErr w:type="spellStart"/>
            <w:r w:rsidRPr="00523156">
              <w:t>yyyy</w:t>
            </w:r>
            <w:proofErr w:type="spellEnd"/>
          </w:p>
          <w:p w14:paraId="472CB834" w14:textId="77777777" w:rsidR="00902CC6" w:rsidRPr="00957C11" w:rsidRDefault="00902CC6" w:rsidP="00C80647">
            <w:pPr>
              <w:jc w:val="both"/>
            </w:pPr>
          </w:p>
        </w:tc>
        <w:tc>
          <w:tcPr>
            <w:tcW w:w="282" w:type="dxa"/>
            <w:vMerge w:val="restart"/>
            <w:tcBorders>
              <w:top w:val="nil"/>
              <w:left w:val="nil"/>
              <w:bottom w:val="single" w:sz="4" w:space="0" w:color="auto"/>
              <w:right w:val="nil"/>
            </w:tcBorders>
          </w:tcPr>
          <w:p w14:paraId="19A383DA" w14:textId="77777777" w:rsidR="00902CC6" w:rsidRDefault="00902CC6" w:rsidP="00C80647">
            <w:pPr>
              <w:spacing w:before="120"/>
              <w:jc w:val="both"/>
            </w:pPr>
          </w:p>
        </w:tc>
        <w:tc>
          <w:tcPr>
            <w:tcW w:w="5771" w:type="dxa"/>
            <w:vMerge w:val="restart"/>
            <w:tcBorders>
              <w:top w:val="single" w:sz="4" w:space="0" w:color="auto"/>
              <w:left w:val="nil"/>
              <w:bottom w:val="single" w:sz="4" w:space="0" w:color="auto"/>
              <w:right w:val="nil"/>
            </w:tcBorders>
          </w:tcPr>
          <w:p w14:paraId="3105F752" w14:textId="77777777" w:rsidR="0047616C" w:rsidRDefault="001452A4" w:rsidP="00C80647">
            <w:pPr>
              <w:spacing w:before="120"/>
              <w:jc w:val="both"/>
              <w:rPr>
                <w:sz w:val="18"/>
                <w:szCs w:val="18"/>
              </w:rPr>
            </w:pPr>
            <w:r w:rsidRPr="00B45275">
              <w:rPr>
                <w:sz w:val="18"/>
                <w:szCs w:val="18"/>
              </w:rPr>
              <w:t xml:space="preserve">An abstract is typically presented separately from the main article, so it must be able to function independently. A well-crafted abstract allows readers to quickly and accurately grasp the core content of a document, assess its relevance to their interests, and decide whether to read the entire text. It should be clear, informative, and self-contained, providing a concise explanation of the problem, the proposed approach or solution, as well as highlighting key findings and conclusions. </w:t>
            </w:r>
            <w:r w:rsidRPr="00B45275">
              <w:rPr>
                <w:b/>
                <w:bCs/>
                <w:sz w:val="18"/>
                <w:szCs w:val="18"/>
              </w:rPr>
              <w:t>The abstract should be between 100 and 200 words</w:t>
            </w:r>
            <w:r w:rsidRPr="00B45275">
              <w:rPr>
                <w:sz w:val="18"/>
                <w:szCs w:val="18"/>
              </w:rPr>
              <w:t xml:space="preserve">. References are discouraged but may be included if absolutely necessary, with citations including the author(s) and year(s). Standard terminology should be used, while non-standard or uncommon abbreviations should be avoided; if essential, they must be defined upon their first mention within the abstract. Literature citations are not allowed. Additionally, the keyword section should include 5 to 7 terms not already mentioned in the title, which can aid indexing and abstracting services (9 </w:t>
            </w:r>
            <w:proofErr w:type="spellStart"/>
            <w:r w:rsidRPr="00B45275">
              <w:rPr>
                <w:sz w:val="18"/>
                <w:szCs w:val="18"/>
              </w:rPr>
              <w:t>pt</w:t>
            </w:r>
            <w:proofErr w:type="spellEnd"/>
            <w:r w:rsidRPr="00B45275">
              <w:rPr>
                <w:sz w:val="18"/>
                <w:szCs w:val="18"/>
              </w:rPr>
              <w:t>).</w:t>
            </w:r>
          </w:p>
          <w:p w14:paraId="4CEDD650" w14:textId="77777777" w:rsidR="007B6617" w:rsidRPr="0047616C" w:rsidRDefault="007B6617" w:rsidP="00C80647">
            <w:pPr>
              <w:spacing w:before="120"/>
              <w:jc w:val="both"/>
              <w:rPr>
                <w:sz w:val="18"/>
                <w:szCs w:val="18"/>
              </w:rPr>
            </w:pPr>
          </w:p>
        </w:tc>
      </w:tr>
      <w:tr w:rsidR="00902CC6" w14:paraId="027BAD90" w14:textId="77777777" w:rsidTr="001A716F">
        <w:trPr>
          <w:trHeight w:val="1231"/>
          <w:jc w:val="center"/>
        </w:trPr>
        <w:tc>
          <w:tcPr>
            <w:tcW w:w="2792" w:type="dxa"/>
            <w:tcBorders>
              <w:top w:val="single" w:sz="4" w:space="0" w:color="auto"/>
              <w:left w:val="nil"/>
              <w:bottom w:val="single" w:sz="4" w:space="0" w:color="auto"/>
              <w:right w:val="nil"/>
            </w:tcBorders>
          </w:tcPr>
          <w:p w14:paraId="488C4C6C" w14:textId="77777777" w:rsidR="007B6617" w:rsidRPr="007F286F" w:rsidRDefault="007B6617" w:rsidP="007B6617">
            <w:pPr>
              <w:spacing w:before="120" w:after="120"/>
              <w:jc w:val="both"/>
              <w:rPr>
                <w:b/>
                <w:i/>
              </w:rPr>
            </w:pPr>
            <w:r w:rsidRPr="007F286F">
              <w:rPr>
                <w:b/>
                <w:i/>
              </w:rPr>
              <w:t>Keyword</w:t>
            </w:r>
            <w:r>
              <w:rPr>
                <w:b/>
                <w:i/>
              </w:rPr>
              <w:t>s</w:t>
            </w:r>
            <w:r w:rsidRPr="007F286F">
              <w:rPr>
                <w:b/>
                <w:i/>
              </w:rPr>
              <w:t>:</w:t>
            </w:r>
          </w:p>
          <w:p w14:paraId="495C963D" w14:textId="77777777" w:rsidR="007B6617" w:rsidRDefault="007B6617" w:rsidP="007B6617">
            <w:pPr>
              <w:jc w:val="both"/>
            </w:pPr>
            <w:r>
              <w:t>First keyword</w:t>
            </w:r>
            <w:r w:rsidR="00BA0960">
              <w:t>,</w:t>
            </w:r>
          </w:p>
          <w:p w14:paraId="7FFC752D" w14:textId="77777777" w:rsidR="007B6617" w:rsidRDefault="007B6617" w:rsidP="007B6617">
            <w:pPr>
              <w:jc w:val="both"/>
            </w:pPr>
            <w:r>
              <w:t>Second keyword</w:t>
            </w:r>
            <w:r w:rsidR="00BA0960">
              <w:t>,</w:t>
            </w:r>
          </w:p>
          <w:p w14:paraId="13284972" w14:textId="77777777" w:rsidR="007B6617" w:rsidRDefault="007B6617" w:rsidP="007B6617">
            <w:pPr>
              <w:jc w:val="both"/>
            </w:pPr>
            <w:r>
              <w:t>Third keyword</w:t>
            </w:r>
            <w:r w:rsidR="00BA0960">
              <w:t>,</w:t>
            </w:r>
          </w:p>
          <w:p w14:paraId="0B9644E7" w14:textId="77777777" w:rsidR="007B6617" w:rsidRDefault="007B6617" w:rsidP="007B6617">
            <w:pPr>
              <w:jc w:val="both"/>
            </w:pPr>
            <w:r>
              <w:t>Fourth keyword</w:t>
            </w:r>
            <w:r w:rsidR="00BA0960">
              <w:t>,</w:t>
            </w:r>
          </w:p>
          <w:p w14:paraId="1EDE0505" w14:textId="77777777" w:rsidR="00902CC6" w:rsidRPr="007F286F" w:rsidRDefault="007B6617" w:rsidP="007B6617">
            <w:pPr>
              <w:jc w:val="both"/>
              <w:rPr>
                <w:b/>
                <w:i/>
              </w:rPr>
            </w:pPr>
            <w:r>
              <w:t>Fifth keyword</w:t>
            </w:r>
            <w:r w:rsidRPr="007F286F">
              <w:rPr>
                <w:b/>
                <w:i/>
              </w:rPr>
              <w:t xml:space="preserve"> </w:t>
            </w:r>
          </w:p>
        </w:tc>
        <w:tc>
          <w:tcPr>
            <w:tcW w:w="282" w:type="dxa"/>
            <w:vMerge/>
            <w:tcBorders>
              <w:top w:val="single" w:sz="4" w:space="0" w:color="auto"/>
              <w:left w:val="nil"/>
              <w:bottom w:val="nil"/>
              <w:right w:val="nil"/>
            </w:tcBorders>
          </w:tcPr>
          <w:p w14:paraId="46736603" w14:textId="77777777" w:rsidR="00902CC6" w:rsidRDefault="00902CC6" w:rsidP="00C80647">
            <w:pPr>
              <w:spacing w:before="120"/>
              <w:jc w:val="both"/>
            </w:pPr>
          </w:p>
        </w:tc>
        <w:tc>
          <w:tcPr>
            <w:tcW w:w="5771" w:type="dxa"/>
            <w:vMerge/>
            <w:tcBorders>
              <w:top w:val="single" w:sz="4" w:space="0" w:color="auto"/>
              <w:left w:val="nil"/>
              <w:bottom w:val="single" w:sz="4" w:space="0" w:color="auto"/>
              <w:right w:val="nil"/>
            </w:tcBorders>
          </w:tcPr>
          <w:p w14:paraId="541D48B8" w14:textId="77777777" w:rsidR="00902CC6" w:rsidRPr="00957C11" w:rsidRDefault="00902CC6" w:rsidP="00C80647">
            <w:pPr>
              <w:spacing w:before="120"/>
              <w:jc w:val="both"/>
              <w:rPr>
                <w:iCs/>
                <w:color w:val="000000"/>
                <w:sz w:val="18"/>
                <w:szCs w:val="18"/>
              </w:rPr>
            </w:pPr>
          </w:p>
        </w:tc>
      </w:tr>
      <w:tr w:rsidR="007B6617" w14:paraId="75F4F556" w14:textId="77777777" w:rsidTr="006817B0">
        <w:trPr>
          <w:trHeight w:val="70"/>
          <w:jc w:val="center"/>
        </w:trPr>
        <w:tc>
          <w:tcPr>
            <w:tcW w:w="8845" w:type="dxa"/>
            <w:gridSpan w:val="3"/>
            <w:tcBorders>
              <w:top w:val="single" w:sz="4" w:space="0" w:color="auto"/>
              <w:left w:val="nil"/>
              <w:bottom w:val="single" w:sz="4" w:space="0" w:color="auto"/>
              <w:right w:val="nil"/>
            </w:tcBorders>
          </w:tcPr>
          <w:p w14:paraId="5DBE244F" w14:textId="77777777" w:rsidR="007B6617" w:rsidRPr="007F286F" w:rsidRDefault="007B6617" w:rsidP="007B6617">
            <w:pPr>
              <w:spacing w:before="120" w:after="120"/>
              <w:jc w:val="both"/>
              <w:rPr>
                <w:b/>
                <w:i/>
              </w:rPr>
            </w:pPr>
            <w:r w:rsidRPr="0047616C">
              <w:rPr>
                <w:b/>
                <w:i/>
              </w:rPr>
              <w:t>To cite this article</w:t>
            </w:r>
            <w:r w:rsidRPr="007F286F">
              <w:rPr>
                <w:b/>
                <w:i/>
              </w:rPr>
              <w:t>:</w:t>
            </w:r>
          </w:p>
          <w:p w14:paraId="6283D0FA" w14:textId="0540F982" w:rsidR="007B6617" w:rsidRPr="007B6617" w:rsidRDefault="007B6617" w:rsidP="00EC5670">
            <w:pPr>
              <w:spacing w:before="120" w:after="120"/>
              <w:jc w:val="both"/>
              <w:rPr>
                <w:bCs/>
                <w:iCs/>
                <w:color w:val="000000"/>
                <w:sz w:val="18"/>
                <w:szCs w:val="18"/>
              </w:rPr>
            </w:pPr>
            <w:r w:rsidRPr="007B6617">
              <w:rPr>
                <w:bCs/>
                <w:iCs/>
              </w:rPr>
              <w:t xml:space="preserve">Name, F. A., Author, S., &amp; Author, T. (2025). Title of Research Article. Nusantara Journal of Artificial Intelligence and Information Systems, 1(1), </w:t>
            </w:r>
            <w:r w:rsidR="00CB6B56">
              <w:rPr>
                <w:bCs/>
                <w:iCs/>
              </w:rPr>
              <w:t>89</w:t>
            </w:r>
            <w:r w:rsidRPr="007B6617">
              <w:rPr>
                <w:bCs/>
                <w:iCs/>
              </w:rPr>
              <w:t>–1</w:t>
            </w:r>
            <w:r w:rsidR="00CB6B56">
              <w:rPr>
                <w:bCs/>
                <w:iCs/>
              </w:rPr>
              <w:t>00</w:t>
            </w:r>
            <w:r w:rsidRPr="007B6617">
              <w:rPr>
                <w:bCs/>
                <w:iCs/>
              </w:rPr>
              <w:t>.</w:t>
            </w:r>
          </w:p>
        </w:tc>
      </w:tr>
      <w:tr w:rsidR="00902CC6" w14:paraId="190B1EDE" w14:textId="77777777" w:rsidTr="001A716F">
        <w:trPr>
          <w:jc w:val="center"/>
        </w:trPr>
        <w:tc>
          <w:tcPr>
            <w:tcW w:w="8845" w:type="dxa"/>
            <w:gridSpan w:val="3"/>
            <w:tcBorders>
              <w:top w:val="nil"/>
              <w:left w:val="nil"/>
              <w:bottom w:val="double" w:sz="4" w:space="0" w:color="auto"/>
              <w:right w:val="nil"/>
            </w:tcBorders>
          </w:tcPr>
          <w:p w14:paraId="5174E15F" w14:textId="77777777" w:rsidR="00902CC6" w:rsidRPr="007F286F" w:rsidRDefault="009C7B89" w:rsidP="00C80647">
            <w:pPr>
              <w:spacing w:before="120" w:after="120"/>
              <w:rPr>
                <w:b/>
                <w:i/>
              </w:rPr>
            </w:pPr>
            <w:r>
              <w:rPr>
                <w:b/>
                <w:i/>
              </w:rPr>
              <w:t>*</w:t>
            </w:r>
            <w:r w:rsidR="00902CC6" w:rsidRPr="007F286F">
              <w:rPr>
                <w:b/>
                <w:i/>
              </w:rPr>
              <w:t>Corresponding Author:</w:t>
            </w:r>
          </w:p>
          <w:p w14:paraId="0BF6E064" w14:textId="77777777" w:rsidR="00902CC6" w:rsidRPr="00B9642F" w:rsidRDefault="00F5080C" w:rsidP="00C80647">
            <w:pPr>
              <w:spacing w:after="120"/>
            </w:pPr>
            <w:proofErr w:type="spellStart"/>
            <w:r>
              <w:t>Ircham</w:t>
            </w:r>
            <w:proofErr w:type="spellEnd"/>
            <w:r>
              <w:t xml:space="preserve"> Ali</w:t>
            </w:r>
            <w:r w:rsidR="00902CC6">
              <w:br/>
            </w:r>
            <w:r w:rsidR="009C7B89">
              <w:t>Department of Informatics Engineering</w:t>
            </w:r>
            <w:r w:rsidR="00902CC6" w:rsidRPr="0093175D">
              <w:t xml:space="preserve">, </w:t>
            </w:r>
            <w:proofErr w:type="spellStart"/>
            <w:r w:rsidR="009C7B89">
              <w:t>Nahdlatul</w:t>
            </w:r>
            <w:proofErr w:type="spellEnd"/>
            <w:r w:rsidR="009C7B89">
              <w:t xml:space="preserve"> Ulama </w:t>
            </w:r>
            <w:r w:rsidR="00902CC6" w:rsidRPr="0093175D">
              <w:t xml:space="preserve">University of </w:t>
            </w:r>
            <w:r w:rsidR="009C7B89">
              <w:t>Indonesia</w:t>
            </w:r>
            <w:r w:rsidR="00902CC6">
              <w:br/>
            </w:r>
            <w:r w:rsidR="009C7B89">
              <w:t xml:space="preserve">Jl. Taman Amir Hamzah No.5 </w:t>
            </w:r>
            <w:proofErr w:type="spellStart"/>
            <w:r w:rsidR="009C7B89">
              <w:t>Pegangsaan</w:t>
            </w:r>
            <w:proofErr w:type="spellEnd"/>
            <w:r w:rsidR="009C7B89">
              <w:t xml:space="preserve">, </w:t>
            </w:r>
            <w:proofErr w:type="spellStart"/>
            <w:r w:rsidR="009C7B89">
              <w:t>Menteng</w:t>
            </w:r>
            <w:proofErr w:type="spellEnd"/>
            <w:r w:rsidR="009C7B89">
              <w:t>, Central Jakarta, DK Jakarta, Indonesia (</w:t>
            </w:r>
            <w:r w:rsidR="009C7B89" w:rsidRPr="009C7B89">
              <w:t>10320</w:t>
            </w:r>
            <w:r w:rsidR="009C7B89">
              <w:t>)</w:t>
            </w:r>
            <w:r w:rsidR="00902CC6" w:rsidRPr="00E6043C">
              <w:t xml:space="preserve"> </w:t>
            </w:r>
            <w:r w:rsidR="00902CC6">
              <w:br/>
              <w:t xml:space="preserve">Email: </w:t>
            </w:r>
            <w:r w:rsidR="00E220B4">
              <w:t>nuaijournal</w:t>
            </w:r>
            <w:r w:rsidR="008051B7" w:rsidRPr="008051B7">
              <w:t>@unusia.ac.id</w:t>
            </w:r>
            <w:r w:rsidR="008051B7">
              <w:br/>
              <w:t xml:space="preserve">Phone (WA): </w:t>
            </w:r>
            <w:r w:rsidR="008051B7" w:rsidRPr="00DE2B81">
              <w:rPr>
                <w:i/>
                <w:iCs/>
              </w:rPr>
              <w:t>need for</w:t>
            </w:r>
            <w:r w:rsidR="005B7D65" w:rsidRPr="00DE2B81">
              <w:rPr>
                <w:i/>
                <w:iCs/>
              </w:rPr>
              <w:t xml:space="preserve"> contact</w:t>
            </w:r>
          </w:p>
        </w:tc>
      </w:tr>
    </w:tbl>
    <w:p w14:paraId="5AABE983" w14:textId="77777777" w:rsidR="00902CC6" w:rsidRDefault="00902CC6" w:rsidP="00902CC6">
      <w:pPr>
        <w:jc w:val="both"/>
      </w:pPr>
    </w:p>
    <w:p w14:paraId="102A2FA4" w14:textId="77777777" w:rsidR="00380DA5" w:rsidRPr="00957C11" w:rsidRDefault="00380DA5" w:rsidP="00902CC6">
      <w:pPr>
        <w:jc w:val="both"/>
      </w:pPr>
    </w:p>
    <w:p w14:paraId="3D727361" w14:textId="77777777" w:rsidR="00173A21" w:rsidRDefault="00CF0474" w:rsidP="008051B7">
      <w:pPr>
        <w:pStyle w:val="ListParagraph"/>
        <w:numPr>
          <w:ilvl w:val="0"/>
          <w:numId w:val="1"/>
        </w:numPr>
        <w:spacing w:line="360" w:lineRule="auto"/>
        <w:ind w:left="426" w:hanging="426"/>
        <w:rPr>
          <w:b/>
          <w:bCs/>
        </w:rPr>
      </w:pPr>
      <w:r w:rsidRPr="00CF0474">
        <w:rPr>
          <w:b/>
          <w:bCs/>
        </w:rPr>
        <w:t>INTRODUCTION</w:t>
      </w:r>
      <w:r>
        <w:rPr>
          <w:b/>
          <w:bCs/>
        </w:rPr>
        <w:t xml:space="preserve"> (10 </w:t>
      </w:r>
      <w:r w:rsidR="004137E7">
        <w:rPr>
          <w:b/>
          <w:bCs/>
        </w:rPr>
        <w:t>PT</w:t>
      </w:r>
      <w:r>
        <w:rPr>
          <w:b/>
          <w:bCs/>
        </w:rPr>
        <w:t>)</w:t>
      </w:r>
    </w:p>
    <w:p w14:paraId="6AC1310B" w14:textId="77777777" w:rsidR="00380DA5" w:rsidRDefault="00380DA5" w:rsidP="00380DA5">
      <w:pPr>
        <w:pStyle w:val="ListParagraph"/>
        <w:ind w:left="0" w:firstLine="426"/>
        <w:jc w:val="both"/>
      </w:pPr>
      <w:r>
        <w:t xml:space="preserve">The main text format consists of a flat left-right columns on A4 paper (quarto). The margin text from the left are </w:t>
      </w:r>
      <w:r w:rsidR="00342480">
        <w:t>3</w:t>
      </w:r>
      <w:r>
        <w:t xml:space="preserve"> cm, </w:t>
      </w:r>
      <w:r w:rsidR="00342480">
        <w:t xml:space="preserve">top, </w:t>
      </w:r>
      <w:r>
        <w:t>right and bottom are 2</w:t>
      </w:r>
      <w:r w:rsidR="00342480">
        <w:t>.5</w:t>
      </w:r>
      <w:r>
        <w:t xml:space="preserve"> cm. The manuscript is written in Microsoft Word, single space, Time New Roman 10 </w:t>
      </w:r>
      <w:proofErr w:type="spellStart"/>
      <w:r>
        <w:t>pt</w:t>
      </w:r>
      <w:proofErr w:type="spellEnd"/>
      <w:r>
        <w:t xml:space="preserve">, and maximum 12 pages for original research article, or maximum 16 pages for review/survey paper, which can be downloaded at the website: </w:t>
      </w:r>
      <w:r w:rsidRPr="00380DA5">
        <w:t>http://journal.unusia.ac.id/index.php/nuai</w:t>
      </w:r>
      <w:r>
        <w:t>.</w:t>
      </w:r>
    </w:p>
    <w:p w14:paraId="108366EA" w14:textId="77777777" w:rsidR="00380DA5" w:rsidRDefault="00342480" w:rsidP="00380DA5">
      <w:pPr>
        <w:pStyle w:val="ListParagraph"/>
        <w:ind w:left="0" w:firstLine="426"/>
        <w:jc w:val="both"/>
      </w:pPr>
      <w:r w:rsidRPr="00342480">
        <w:t>The title of an article should consist of the fewest possible words that accurately convey the paper's content. It must be succinct, informative, and limited to approximately 12 words. Avoid using acronyms or abbreviations, and refrain from mentioning the method unless the paper introduces a new one. Titles play a crucial role in information-retrieval systems, so long formulas with subscripts should be avoided. Eliminate unnecessary phrases such as "A study of...", "Investigations of...", "Implementation of...", "Observations on...", "Effect of...", "Analysis of...", "Design of...", etc.</w:t>
      </w:r>
      <w:r w:rsidR="00380DA5">
        <w:t xml:space="preserve"> </w:t>
      </w:r>
    </w:p>
    <w:p w14:paraId="1C0FD269" w14:textId="77777777" w:rsidR="00380DA5" w:rsidRDefault="00342480" w:rsidP="00380DA5">
      <w:pPr>
        <w:pStyle w:val="ListParagraph"/>
        <w:ind w:left="0" w:firstLine="426"/>
        <w:jc w:val="both"/>
      </w:pPr>
      <w:r w:rsidRPr="00342480">
        <w:t xml:space="preserve">A concise and factual abstract is essential. The abstract should succinctly state the research purpose, principal results, and major conclusions. Since an abstract is often presented separately from the article, it must stand alone. Therefore, references should be avoided; if essential, cite the author(s) and year(s). Non-standard or uncommon abbreviations should also be avoided; if necessary, they must be defined upon first mention in </w:t>
      </w:r>
      <w:r w:rsidRPr="00342480">
        <w:lastRenderedPageBreak/>
        <w:t xml:space="preserve">the abstract. Immediately following the abstract, provide up to </w:t>
      </w:r>
      <w:r>
        <w:t>5</w:t>
      </w:r>
      <w:r w:rsidRPr="00342480">
        <w:t xml:space="preserve"> keywords, using American spelling and avoiding general, plural terms, and multiple concepts (e.g., avoid 'and', 'of'). Use abbreviations sparingly; only those firmly established in the field are acceptable. These keywords will be used for indexing purposes. Indexing and abstracting services rely on the accuracy of the title to extract keywords useful for cross-referencing and computer searching. An improperly titled paper may fail to reach its intended audience, so specificity is crucial.</w:t>
      </w:r>
    </w:p>
    <w:p w14:paraId="2607D0DA" w14:textId="77777777" w:rsidR="00342480" w:rsidRDefault="00342480" w:rsidP="00380DA5">
      <w:pPr>
        <w:pStyle w:val="ListParagraph"/>
        <w:ind w:left="0" w:firstLine="426"/>
        <w:jc w:val="both"/>
      </w:pPr>
      <w:r w:rsidRPr="00342480">
        <w:t>The Introduction section should include: i) a clear background, ii) a precise statement of the problem, iii) a review of relevant literature, iv) the proposed approach or solution, and v) the innovative contribution of the research, all within 3-6 paragraphs. It should be comprehensible to colleagues from a broad range of scientific disciplines. Bibliography organization and citation follow the Institute of Electrical and Electronics Engineers (IEEE) style, using brackets such as </w:t>
      </w:r>
      <w:r w:rsidR="007E3769" w:rsidRPr="003D6B19">
        <w:fldChar w:fldCharType="begin" w:fldLock="1"/>
      </w:r>
      <w:r w:rsidR="007E3769"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007E3769" w:rsidRPr="003D6B19">
        <w:fldChar w:fldCharType="separate"/>
      </w:r>
      <w:r w:rsidR="007E3769" w:rsidRPr="003D6B19">
        <w:rPr>
          <w:noProof/>
          <w:lang w:val="id-ID"/>
        </w:rPr>
        <w:t>[1], [2]</w:t>
      </w:r>
      <w:r w:rsidR="007E3769" w:rsidRPr="003D6B19">
        <w:fldChar w:fldCharType="end"/>
      </w:r>
      <w:r w:rsidRPr="00342480">
        <w:t>, etc. Terms in foreign languages should be italicized. The text must be divided into sections, each with a distinct heading, numbered consecutively </w:t>
      </w:r>
      <w:r w:rsidR="007E3769" w:rsidRPr="003D6B19">
        <w:fldChar w:fldCharType="begin" w:fldLock="1"/>
      </w:r>
      <w:r w:rsidR="007E3769"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007E3769" w:rsidRPr="003D6B19">
        <w:fldChar w:fldCharType="separate"/>
      </w:r>
      <w:r w:rsidR="007E3769" w:rsidRPr="003D6B19">
        <w:rPr>
          <w:noProof/>
        </w:rPr>
        <w:t>[3]</w:t>
      </w:r>
      <w:r w:rsidR="007E3769" w:rsidRPr="003D6B19">
        <w:fldChar w:fldCharType="end"/>
      </w:r>
      <w:r w:rsidRPr="00342480">
        <w:t xml:space="preserve">. Section or subsection headings should be typed on a separate line, e.g., 1. INTRODUCTION. A full article typically follows a standard structure: </w:t>
      </w:r>
      <w:r w:rsidRPr="00E51D4A">
        <w:t xml:space="preserve">1. </w:t>
      </w:r>
      <w:r w:rsidRPr="007E3769">
        <w:rPr>
          <w:b/>
          <w:bCs/>
        </w:rPr>
        <w:t>Introduction</w:t>
      </w:r>
      <w:r w:rsidRPr="00E51D4A">
        <w:t xml:space="preserve">, 2. </w:t>
      </w:r>
      <w:r w:rsidR="007E3769" w:rsidRPr="007E3769">
        <w:rPr>
          <w:b/>
          <w:bCs/>
        </w:rPr>
        <w:t>Literature Review</w:t>
      </w:r>
      <w:r w:rsidRPr="00E51D4A">
        <w:t xml:space="preserve"> and/or the </w:t>
      </w:r>
      <w:r w:rsidRPr="007E3769">
        <w:rPr>
          <w:b/>
          <w:bCs/>
        </w:rPr>
        <w:t>Proposed Method/Algorithm</w:t>
      </w:r>
      <w:r w:rsidRPr="00E51D4A">
        <w:t xml:space="preserve"> (optional), 3. </w:t>
      </w:r>
      <w:r w:rsidRPr="007E3769">
        <w:rPr>
          <w:b/>
          <w:bCs/>
        </w:rPr>
        <w:t>Method</w:t>
      </w:r>
      <w:r w:rsidRPr="00E51D4A">
        <w:t xml:space="preserve">, 4. </w:t>
      </w:r>
      <w:r w:rsidRPr="007E3769">
        <w:rPr>
          <w:b/>
          <w:bCs/>
        </w:rPr>
        <w:t>Results and Discussion</w:t>
      </w:r>
      <w:r w:rsidRPr="00E51D4A">
        <w:t xml:space="preserve">, and 5. </w:t>
      </w:r>
      <w:r w:rsidRPr="007E3769">
        <w:rPr>
          <w:b/>
          <w:bCs/>
        </w:rPr>
        <w:t>Conclusion</w:t>
      </w:r>
      <w:r w:rsidRPr="00E51D4A">
        <w:t>.</w:t>
      </w:r>
      <w:r w:rsidRPr="00342480">
        <w:t xml:space="preserve"> This structure is commonly known as the </w:t>
      </w:r>
      <w:proofErr w:type="spellStart"/>
      <w:r w:rsidRPr="00342480">
        <w:t>IMRaD</w:t>
      </w:r>
      <w:proofErr w:type="spellEnd"/>
      <w:r w:rsidRPr="00342480">
        <w:t xml:space="preserve"> format.</w:t>
      </w:r>
    </w:p>
    <w:p w14:paraId="14E3F258" w14:textId="77777777" w:rsidR="00380DA5" w:rsidRDefault="00346BE9" w:rsidP="00346BE9">
      <w:pPr>
        <w:pStyle w:val="ListParagraph"/>
        <w:ind w:left="0" w:firstLine="426"/>
        <w:jc w:val="both"/>
      </w:pPr>
      <w:r w:rsidRPr="00346BE9">
        <w:t>The literature review conducted by the author is utilized in the "INTRODUCTION" section to highlight the manuscript's innovation and distinguish it from other papers. It is also used in the "METHOD" section to describe the research steps and in the "RESULTS AND DISCUSSION" section to support the analysis of the results </w:t>
      </w:r>
      <w:r w:rsidR="007E3769" w:rsidRPr="003D6B19">
        <w:rPr>
          <w:spacing w:val="-2"/>
        </w:rPr>
        <w:fldChar w:fldCharType="begin" w:fldLock="1"/>
      </w:r>
      <w:r w:rsidR="007E3769"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007E3769" w:rsidRPr="003D6B19">
        <w:rPr>
          <w:spacing w:val="-2"/>
        </w:rPr>
        <w:fldChar w:fldCharType="separate"/>
      </w:r>
      <w:r w:rsidR="007E3769" w:rsidRPr="003D6B19">
        <w:rPr>
          <w:noProof/>
          <w:spacing w:val="-2"/>
        </w:rPr>
        <w:t>[2]</w:t>
      </w:r>
      <w:r w:rsidR="007E3769" w:rsidRPr="003D6B19">
        <w:rPr>
          <w:spacing w:val="-2"/>
        </w:rPr>
        <w:fldChar w:fldCharType="end"/>
      </w:r>
      <w:r w:rsidRPr="00346BE9">
        <w:t>. If the manuscript possesses high originality and proposes a new method or algorithm, an additional section can be included after the "INTRODUCTION" and before the "METHOD" section to briefly explain the theory and/or the proposed method/algorithm </w:t>
      </w:r>
      <w:r w:rsidR="007E3769" w:rsidRPr="003D6B19">
        <w:rPr>
          <w:spacing w:val="-2"/>
        </w:rPr>
        <w:fldChar w:fldCharType="begin" w:fldLock="1"/>
      </w:r>
      <w:r w:rsidR="007E3769"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007E3769" w:rsidRPr="003D6B19">
        <w:rPr>
          <w:spacing w:val="-2"/>
        </w:rPr>
        <w:fldChar w:fldCharType="separate"/>
      </w:r>
      <w:r w:rsidR="007E3769" w:rsidRPr="003D6B19">
        <w:rPr>
          <w:noProof/>
          <w:spacing w:val="-2"/>
        </w:rPr>
        <w:t>[4]</w:t>
      </w:r>
      <w:r w:rsidR="007E3769" w:rsidRPr="003D6B19">
        <w:rPr>
          <w:spacing w:val="-2"/>
        </w:rPr>
        <w:fldChar w:fldCharType="end"/>
      </w:r>
      <w:r w:rsidRPr="00346BE9">
        <w:t>.</w:t>
      </w:r>
    </w:p>
    <w:p w14:paraId="07D4E7D3" w14:textId="77777777" w:rsidR="004137E7" w:rsidRPr="004137E7" w:rsidRDefault="004137E7" w:rsidP="004137E7">
      <w:pPr>
        <w:pStyle w:val="ListParagraph"/>
        <w:ind w:left="426"/>
      </w:pPr>
    </w:p>
    <w:p w14:paraId="0DCE3291" w14:textId="77777777" w:rsidR="00BA67E6" w:rsidRDefault="00AC78B9" w:rsidP="00BA67E6">
      <w:pPr>
        <w:pStyle w:val="ListParagraph"/>
        <w:numPr>
          <w:ilvl w:val="0"/>
          <w:numId w:val="1"/>
        </w:numPr>
        <w:spacing w:line="360" w:lineRule="auto"/>
        <w:ind w:left="426" w:hanging="426"/>
        <w:rPr>
          <w:b/>
          <w:bCs/>
        </w:rPr>
      </w:pPr>
      <w:r w:rsidRPr="004137E7">
        <w:rPr>
          <w:b/>
          <w:bCs/>
        </w:rPr>
        <w:t>METHOD (10 PT)</w:t>
      </w:r>
    </w:p>
    <w:p w14:paraId="3A769EE5" w14:textId="77777777" w:rsidR="00D328B4" w:rsidRDefault="00D328B4" w:rsidP="00BA67E6">
      <w:pPr>
        <w:ind w:firstLine="426"/>
        <w:jc w:val="both"/>
      </w:pPr>
      <w:bookmarkStart w:id="0" w:name="_Hlk78354375"/>
      <w:r w:rsidRPr="00D328B4">
        <w:t>The research chronology should be explained, including the research design, procedures (such as algorithms, pseudocode, or other methods), testing, and data acquisition </w:t>
      </w:r>
      <w:r w:rsidR="00784C04" w:rsidRPr="003D6B19">
        <w:fldChar w:fldCharType="begin" w:fldLock="1"/>
      </w:r>
      <w:r w:rsidR="00784C04"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00784C04" w:rsidRPr="003D6B19">
        <w:fldChar w:fldCharType="separate"/>
      </w:r>
      <w:r w:rsidR="00784C04" w:rsidRPr="003D6B19">
        <w:rPr>
          <w:noProof/>
        </w:rPr>
        <w:t>[5]–[7]</w:t>
      </w:r>
      <w:r w:rsidR="00784C04" w:rsidRPr="003D6B19">
        <w:fldChar w:fldCharType="end"/>
      </w:r>
      <w:r w:rsidRPr="00D328B4">
        <w:t>. The description of the research process should be supported by references to ensure the explanation is scientifically credible </w:t>
      </w:r>
      <w:r w:rsidR="00784C04" w:rsidRPr="003D6B19">
        <w:fldChar w:fldCharType="begin" w:fldLock="1"/>
      </w:r>
      <w:r w:rsidR="00784C04"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00784C04" w:rsidRPr="003D6B19">
        <w:fldChar w:fldCharType="separate"/>
      </w:r>
      <w:r w:rsidR="00784C04" w:rsidRPr="003D6B19">
        <w:rPr>
          <w:noProof/>
        </w:rPr>
        <w:t>[2]</w:t>
      </w:r>
      <w:r w:rsidR="00784C04" w:rsidRPr="003D6B19">
        <w:fldChar w:fldCharType="end"/>
      </w:r>
      <w:r w:rsidR="00784C04" w:rsidRPr="003D6B19">
        <w:t xml:space="preserve">, </w:t>
      </w:r>
      <w:r w:rsidR="00784C04" w:rsidRPr="003D6B19">
        <w:fldChar w:fldCharType="begin" w:fldLock="1"/>
      </w:r>
      <w:r w:rsidR="00784C04"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00784C04" w:rsidRPr="003D6B19">
        <w:fldChar w:fldCharType="separate"/>
      </w:r>
      <w:r w:rsidR="00784C04" w:rsidRPr="003D6B19">
        <w:rPr>
          <w:noProof/>
        </w:rPr>
        <w:t>[4]</w:t>
      </w:r>
      <w:r w:rsidR="00784C04" w:rsidRPr="003D6B19">
        <w:fldChar w:fldCharType="end"/>
      </w:r>
      <w:r w:rsidRPr="00D328B4">
        <w:t xml:space="preserve">. </w:t>
      </w:r>
      <w:r w:rsidR="00BA0DFB" w:rsidRPr="00BA0DFB">
        <w:t xml:space="preserve">Tables </w:t>
      </w:r>
      <w:r w:rsidR="00BA0DFB">
        <w:t xml:space="preserve">1 </w:t>
      </w:r>
      <w:r w:rsidR="00BA0DFB" w:rsidRPr="00BA0DFB">
        <w:t>should be centered and cited appropriately in the manuscript</w:t>
      </w:r>
      <w:r w:rsidR="00784C04">
        <w:t xml:space="preserve"> </w:t>
      </w:r>
      <w:r w:rsidR="00784C04" w:rsidRPr="003D6B19">
        <w:fldChar w:fldCharType="begin" w:fldLock="1"/>
      </w:r>
      <w:r w:rsidR="00784C04"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00784C04" w:rsidRPr="003D6B19">
        <w:fldChar w:fldCharType="separate"/>
      </w:r>
      <w:r w:rsidR="00784C04" w:rsidRPr="003D6B19">
        <w:rPr>
          <w:noProof/>
        </w:rPr>
        <w:t>[5]</w:t>
      </w:r>
      <w:r w:rsidR="00784C04" w:rsidRPr="003D6B19">
        <w:fldChar w:fldCharType="end"/>
      </w:r>
      <w:r w:rsidR="00784C04" w:rsidRPr="003D6B19">
        <w:t xml:space="preserve">, </w:t>
      </w:r>
      <w:r w:rsidR="00784C04" w:rsidRPr="003D6B19">
        <w:fldChar w:fldCharType="begin" w:fldLock="1"/>
      </w:r>
      <w:r w:rsidR="00784C04"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00784C04" w:rsidRPr="003D6B19">
        <w:fldChar w:fldCharType="separate"/>
      </w:r>
      <w:r w:rsidR="00784C04" w:rsidRPr="003D6B19">
        <w:rPr>
          <w:noProof/>
        </w:rPr>
        <w:t>[8]–[13]</w:t>
      </w:r>
      <w:r w:rsidR="00784C04" w:rsidRPr="003D6B19">
        <w:fldChar w:fldCharType="end"/>
      </w:r>
      <w:r w:rsidR="00BA0DFB" w:rsidRPr="00BA0DFB">
        <w:t>. T</w:t>
      </w:r>
      <w:r w:rsidR="00784C04">
        <w:t>ables</w:t>
      </w:r>
      <w:r w:rsidR="00BA0DFB" w:rsidRPr="00BA0DFB">
        <w:t xml:space="preserve"> </w:t>
      </w:r>
      <w:r w:rsidR="00784C04">
        <w:t>should</w:t>
      </w:r>
      <w:r w:rsidR="00BA0DFB" w:rsidRPr="00BA0DFB">
        <w:t xml:space="preserve"> be inserted after the first reference in the text and adhere to specific styles for identification. Avoid using images to present tables, as this will make them inaccessible to reade</w:t>
      </w:r>
      <w:r w:rsidR="00BA0DFB">
        <w:t>rs using assistive technologies</w:t>
      </w:r>
      <w:r w:rsidRPr="00D328B4">
        <w:t>.</w:t>
      </w:r>
      <w:r w:rsidR="00BA0DFB">
        <w:t xml:space="preserve"> </w:t>
      </w:r>
      <w:r w:rsidR="00BA0DFB" w:rsidRPr="00BA0DFB">
        <w:t>Figure 1 exemplifies a figure and caption that span half the page width (one column in a two-column format) with the appropriate styles applied. A multi-part figure with a single caption is demonstrated in Figure 2. If the figure includes third-party material, it must be clearly identified, as illustrated in the example below.</w:t>
      </w:r>
      <w:r w:rsidR="00BA0DFB">
        <w:t xml:space="preserve"> </w:t>
      </w:r>
      <w:r w:rsidR="00D13ECD" w:rsidRPr="00D13ECD">
        <w:t xml:space="preserve">Figures must adhere to the following criteria: a minimum resolution of 300 DPI and formats such as JPG, TIFF, or PNG. Larger images, which span two columns, must be 1200 pixels wide and should be submitted as separate files, </w:t>
      </w:r>
      <w:r w:rsidR="00D13ECD">
        <w:t>a</w:t>
      </w:r>
      <w:r w:rsidR="00D13ECD" w:rsidRPr="00D13ECD">
        <w:t>s well as being inserted in the Word file.</w:t>
      </w:r>
    </w:p>
    <w:p w14:paraId="73BA9633" w14:textId="77777777" w:rsidR="00BA67E6" w:rsidRPr="003D6B19" w:rsidRDefault="00BA67E6" w:rsidP="00BA67E6">
      <w:pPr>
        <w:rPr>
          <w:b/>
          <w:bCs/>
        </w:rPr>
      </w:pPr>
    </w:p>
    <w:p w14:paraId="582108A7" w14:textId="77777777" w:rsidR="00BA67E6" w:rsidRPr="003D6B19" w:rsidRDefault="00BA67E6" w:rsidP="00BA67E6">
      <w:pPr>
        <w:jc w:val="center"/>
        <w:rPr>
          <w:noProof/>
          <w:lang w:val="id-ID"/>
        </w:rPr>
      </w:pPr>
      <w:r w:rsidRPr="00D12D9D">
        <w:rPr>
          <w:noProof/>
        </w:rPr>
        <w:drawing>
          <wp:inline distT="0" distB="0" distL="0" distR="0" wp14:anchorId="5A133D58" wp14:editId="5FE3809A">
            <wp:extent cx="3106307" cy="2073348"/>
            <wp:effectExtent l="0" t="0" r="0" b="0"/>
            <wp:docPr id="1027" name="Picture 8" descr="C:\Users\Asus\Pictures\sv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8" descr="C:\Users\Asus\Pictures\svm 3.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06307" cy="2073348"/>
                    </a:xfrm>
                    <a:prstGeom prst="rect">
                      <a:avLst/>
                    </a:prstGeom>
                  </pic:spPr>
                </pic:pic>
              </a:graphicData>
            </a:graphic>
          </wp:inline>
        </w:drawing>
      </w:r>
    </w:p>
    <w:p w14:paraId="0655DEB1" w14:textId="77777777" w:rsidR="00BA67E6" w:rsidRPr="003D6B19" w:rsidRDefault="00BA67E6" w:rsidP="00BA67E6">
      <w:pPr>
        <w:jc w:val="center"/>
        <w:rPr>
          <w:b/>
          <w:bCs/>
        </w:rPr>
      </w:pPr>
      <w:r w:rsidRPr="003D6B19">
        <w:rPr>
          <w:lang w:val="id-ID"/>
        </w:rPr>
        <w:t xml:space="preserve">Figure 1. </w:t>
      </w:r>
      <w:r w:rsidRPr="00DB3F37">
        <w:t>Illustration of support vector machine</w:t>
      </w:r>
    </w:p>
    <w:p w14:paraId="274CCE9F" w14:textId="77777777" w:rsidR="00BA67E6" w:rsidRDefault="00BA67E6" w:rsidP="00BA67E6">
      <w:pPr>
        <w:jc w:val="center"/>
        <w:rPr>
          <w:bCs/>
        </w:rPr>
      </w:pPr>
    </w:p>
    <w:tbl>
      <w:tblPr>
        <w:tblW w:w="0" w:type="auto"/>
        <w:tblInd w:w="1541" w:type="dxa"/>
        <w:tblLook w:val="04A0" w:firstRow="1" w:lastRow="0" w:firstColumn="1" w:lastColumn="0" w:noHBand="0" w:noVBand="1"/>
      </w:tblPr>
      <w:tblGrid>
        <w:gridCol w:w="2916"/>
        <w:gridCol w:w="2516"/>
      </w:tblGrid>
      <w:tr w:rsidR="00D13ECD" w14:paraId="7B42540D" w14:textId="77777777" w:rsidTr="00D13ECD">
        <w:trPr>
          <w:cantSplit/>
          <w:trHeight w:val="1740"/>
          <w:tblHeader/>
        </w:trPr>
        <w:tc>
          <w:tcPr>
            <w:tcW w:w="2916" w:type="dxa"/>
            <w:hideMark/>
          </w:tcPr>
          <w:p w14:paraId="489F6495" w14:textId="77777777" w:rsidR="00D13ECD" w:rsidRPr="0008602E" w:rsidRDefault="00D13ECD" w:rsidP="00D60B47">
            <w:pPr>
              <w:pStyle w:val="Image"/>
              <w:rPr>
                <w:rFonts w:ascii="Times New Roman" w:hAnsi="Times New Roman"/>
                <w:lang w:val="it-IT" w:eastAsia="it-IT"/>
              </w:rPr>
            </w:pPr>
            <w:r>
              <w:rPr>
                <w:rFonts w:ascii="Times New Roman" w:hAnsi="Times New Roman"/>
                <w:noProof/>
              </w:rPr>
              <w:lastRenderedPageBreak/>
              <w:drawing>
                <wp:inline distT="0" distB="0" distL="0" distR="0" wp14:anchorId="40D05B3D" wp14:editId="1448FB8B">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25E27229" w14:textId="77777777" w:rsidR="00D13ECD" w:rsidRPr="0008602E" w:rsidRDefault="00D13ECD" w:rsidP="00D60B47">
            <w:pPr>
              <w:pStyle w:val="Image"/>
              <w:rPr>
                <w:rFonts w:ascii="Times New Roman" w:hAnsi="Times New Roman"/>
                <w:lang w:val="it-IT" w:eastAsia="it-IT"/>
              </w:rPr>
            </w:pPr>
            <w:r>
              <w:rPr>
                <w:rFonts w:ascii="Times New Roman" w:hAnsi="Times New Roman"/>
                <w:noProof/>
              </w:rPr>
              <w:drawing>
                <wp:inline distT="0" distB="0" distL="0" distR="0" wp14:anchorId="4EE6C8CE" wp14:editId="06B2615A">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D13ECD" w14:paraId="34F9AF4F" w14:textId="77777777" w:rsidTr="00D13ECD">
        <w:trPr>
          <w:cantSplit/>
          <w:trHeight w:val="691"/>
          <w:tblHeader/>
        </w:trPr>
        <w:tc>
          <w:tcPr>
            <w:tcW w:w="2916" w:type="dxa"/>
            <w:hideMark/>
          </w:tcPr>
          <w:p w14:paraId="3A9F69AA" w14:textId="77777777" w:rsidR="00D13ECD" w:rsidRPr="0008602E" w:rsidRDefault="00D13ECD" w:rsidP="00D60B47">
            <w:pPr>
              <w:pStyle w:val="Image"/>
              <w:rPr>
                <w:rFonts w:ascii="Times New Roman" w:hAnsi="Times New Roman"/>
                <w:lang w:val="it-IT" w:eastAsia="it-IT"/>
              </w:rPr>
            </w:pPr>
            <w:r>
              <w:rPr>
                <w:rFonts w:ascii="Times New Roman" w:hAnsi="Times New Roman"/>
                <w:noProof/>
              </w:rPr>
              <w:drawing>
                <wp:inline distT="0" distB="0" distL="0" distR="0" wp14:anchorId="044D7D5C" wp14:editId="2BCEE6B9">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10A56AAA" w14:textId="77777777" w:rsidR="00D13ECD" w:rsidRDefault="00D13ECD" w:rsidP="00D60B47">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3B7618CE" wp14:editId="3CA26942">
                  <wp:extent cx="1284605" cy="815975"/>
                  <wp:effectExtent l="0" t="0" r="0" b="3175"/>
                  <wp:docPr id="4"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69C74256" w14:textId="77777777" w:rsidR="00BA67E6" w:rsidRPr="00D13ECD" w:rsidRDefault="00D13ECD" w:rsidP="00BA67E6">
      <w:pPr>
        <w:jc w:val="center"/>
        <w:rPr>
          <w:bCs/>
        </w:rPr>
      </w:pPr>
      <w:r>
        <w:rPr>
          <w:lang w:val="id-ID"/>
        </w:rPr>
        <w:t xml:space="preserve">Figure </w:t>
      </w:r>
      <w:r>
        <w:t>2</w:t>
      </w:r>
      <w:r w:rsidRPr="003D6B19">
        <w:rPr>
          <w:lang w:val="id-ID"/>
        </w:rPr>
        <w:t xml:space="preserve">. </w:t>
      </w:r>
      <w:r w:rsidRPr="00D13ECD">
        <w:t>The layout of multipart images should be as per the above example within the table</w:t>
      </w:r>
    </w:p>
    <w:p w14:paraId="1C48D8E0" w14:textId="77777777" w:rsidR="00D13ECD" w:rsidRDefault="00D13ECD" w:rsidP="00BA67E6">
      <w:pPr>
        <w:jc w:val="center"/>
      </w:pPr>
    </w:p>
    <w:bookmarkEnd w:id="0"/>
    <w:p w14:paraId="31B4D7FA" w14:textId="77777777" w:rsidR="006617D9" w:rsidRDefault="006617D9" w:rsidP="006617D9">
      <w:pPr>
        <w:spacing w:after="120"/>
        <w:ind w:left="851" w:hanging="851"/>
        <w:jc w:val="center"/>
      </w:pPr>
      <w:r w:rsidRPr="00E14CEE">
        <w:t xml:space="preserve">Table 1. </w:t>
      </w:r>
      <w:r>
        <w:t>Table caption</w:t>
      </w:r>
    </w:p>
    <w:tbl>
      <w:tblPr>
        <w:tblStyle w:val="TableGrid"/>
        <w:tblW w:w="598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134"/>
        <w:gridCol w:w="1701"/>
        <w:gridCol w:w="1984"/>
      </w:tblGrid>
      <w:tr w:rsidR="006617D9" w:rsidRPr="006617D9" w14:paraId="3697F741" w14:textId="77777777" w:rsidTr="006617D9">
        <w:trPr>
          <w:trHeight w:val="20"/>
          <w:jc w:val="center"/>
        </w:trPr>
        <w:tc>
          <w:tcPr>
            <w:tcW w:w="2297" w:type="dxa"/>
            <w:gridSpan w:val="2"/>
            <w:tcBorders>
              <w:top w:val="single" w:sz="4" w:space="0" w:color="auto"/>
              <w:bottom w:val="single" w:sz="4" w:space="0" w:color="auto"/>
            </w:tcBorders>
          </w:tcPr>
          <w:p w14:paraId="01CE5A0E" w14:textId="77777777" w:rsidR="006617D9" w:rsidRPr="006617D9" w:rsidRDefault="006617D9" w:rsidP="00D60B47">
            <w:pPr>
              <w:widowControl w:val="0"/>
              <w:autoSpaceDE w:val="0"/>
              <w:autoSpaceDN w:val="0"/>
              <w:adjustRightInd w:val="0"/>
              <w:jc w:val="center"/>
              <w:rPr>
                <w:sz w:val="16"/>
                <w:szCs w:val="16"/>
              </w:rPr>
            </w:pPr>
            <w:proofErr w:type="spellStart"/>
            <w:r w:rsidRPr="006617D9">
              <w:rPr>
                <w:b/>
                <w:sz w:val="16"/>
                <w:szCs w:val="16"/>
              </w:rPr>
              <w:t>Xxxxxx</w:t>
            </w:r>
            <w:proofErr w:type="spellEnd"/>
            <w:r w:rsidRPr="006617D9">
              <w:rPr>
                <w:b/>
                <w:sz w:val="16"/>
                <w:szCs w:val="16"/>
              </w:rPr>
              <w:t xml:space="preserve"> </w:t>
            </w:r>
          </w:p>
        </w:tc>
        <w:tc>
          <w:tcPr>
            <w:tcW w:w="1701" w:type="dxa"/>
            <w:vMerge w:val="restart"/>
            <w:tcBorders>
              <w:top w:val="single" w:sz="4" w:space="0" w:color="auto"/>
              <w:bottom w:val="single" w:sz="4" w:space="0" w:color="auto"/>
            </w:tcBorders>
            <w:vAlign w:val="center"/>
          </w:tcPr>
          <w:p w14:paraId="64618275" w14:textId="77777777" w:rsidR="006617D9" w:rsidRPr="006617D9" w:rsidRDefault="006617D9" w:rsidP="00D60B47">
            <w:pPr>
              <w:jc w:val="center"/>
              <w:rPr>
                <w:b/>
                <w:sz w:val="16"/>
                <w:szCs w:val="16"/>
              </w:rPr>
            </w:pPr>
            <w:r w:rsidRPr="006617D9">
              <w:rPr>
                <w:b/>
                <w:sz w:val="16"/>
                <w:szCs w:val="16"/>
              </w:rPr>
              <w:t>Percentage of</w:t>
            </w:r>
          </w:p>
          <w:p w14:paraId="0BD6A544" w14:textId="77777777" w:rsidR="006617D9" w:rsidRPr="006617D9" w:rsidRDefault="006617D9" w:rsidP="00D60B47">
            <w:pPr>
              <w:widowControl w:val="0"/>
              <w:autoSpaceDE w:val="0"/>
              <w:autoSpaceDN w:val="0"/>
              <w:adjustRightInd w:val="0"/>
              <w:jc w:val="center"/>
              <w:rPr>
                <w:sz w:val="16"/>
                <w:szCs w:val="16"/>
              </w:rPr>
            </w:pPr>
            <w:r w:rsidRPr="006617D9">
              <w:rPr>
                <w:b/>
                <w:sz w:val="16"/>
                <w:szCs w:val="16"/>
              </w:rPr>
              <w:t>Protein (%)</w:t>
            </w:r>
          </w:p>
        </w:tc>
        <w:tc>
          <w:tcPr>
            <w:tcW w:w="1984" w:type="dxa"/>
            <w:vMerge w:val="restart"/>
            <w:tcBorders>
              <w:top w:val="single" w:sz="4" w:space="0" w:color="auto"/>
              <w:bottom w:val="single" w:sz="4" w:space="0" w:color="auto"/>
            </w:tcBorders>
            <w:vAlign w:val="center"/>
          </w:tcPr>
          <w:p w14:paraId="448ED541" w14:textId="77777777" w:rsidR="006617D9" w:rsidRPr="006617D9" w:rsidRDefault="006617D9" w:rsidP="00D60B47">
            <w:pPr>
              <w:widowControl w:val="0"/>
              <w:autoSpaceDE w:val="0"/>
              <w:autoSpaceDN w:val="0"/>
              <w:adjustRightInd w:val="0"/>
              <w:jc w:val="center"/>
              <w:rPr>
                <w:sz w:val="16"/>
                <w:szCs w:val="16"/>
              </w:rPr>
            </w:pPr>
            <w:r w:rsidRPr="006617D9">
              <w:rPr>
                <w:b/>
                <w:sz w:val="16"/>
                <w:szCs w:val="16"/>
              </w:rPr>
              <w:t>Percentage of Water (%)</w:t>
            </w:r>
          </w:p>
        </w:tc>
      </w:tr>
      <w:tr w:rsidR="006617D9" w:rsidRPr="006617D9" w14:paraId="3D3C63C9" w14:textId="77777777" w:rsidTr="006617D9">
        <w:trPr>
          <w:trHeight w:val="57"/>
          <w:jc w:val="center"/>
        </w:trPr>
        <w:tc>
          <w:tcPr>
            <w:tcW w:w="1163" w:type="dxa"/>
            <w:tcBorders>
              <w:top w:val="single" w:sz="4" w:space="0" w:color="auto"/>
              <w:bottom w:val="single" w:sz="4" w:space="0" w:color="auto"/>
            </w:tcBorders>
          </w:tcPr>
          <w:p w14:paraId="7EF54DE1" w14:textId="77777777" w:rsidR="006617D9" w:rsidRPr="006617D9" w:rsidRDefault="006617D9" w:rsidP="00D60B47">
            <w:pPr>
              <w:widowControl w:val="0"/>
              <w:autoSpaceDE w:val="0"/>
              <w:autoSpaceDN w:val="0"/>
              <w:adjustRightInd w:val="0"/>
              <w:jc w:val="center"/>
              <w:rPr>
                <w:sz w:val="16"/>
                <w:szCs w:val="16"/>
              </w:rPr>
            </w:pPr>
            <w:proofErr w:type="spellStart"/>
            <w:r w:rsidRPr="006617D9">
              <w:rPr>
                <w:sz w:val="16"/>
                <w:szCs w:val="16"/>
              </w:rPr>
              <w:t>Xxxx</w:t>
            </w:r>
            <w:proofErr w:type="spellEnd"/>
          </w:p>
        </w:tc>
        <w:tc>
          <w:tcPr>
            <w:tcW w:w="1134" w:type="dxa"/>
            <w:tcBorders>
              <w:top w:val="single" w:sz="4" w:space="0" w:color="auto"/>
              <w:bottom w:val="single" w:sz="4" w:space="0" w:color="auto"/>
            </w:tcBorders>
          </w:tcPr>
          <w:p w14:paraId="23B9A5B4" w14:textId="77777777" w:rsidR="006617D9" w:rsidRPr="006617D9" w:rsidRDefault="006617D9" w:rsidP="00D60B47">
            <w:pPr>
              <w:widowControl w:val="0"/>
              <w:autoSpaceDE w:val="0"/>
              <w:autoSpaceDN w:val="0"/>
              <w:adjustRightInd w:val="0"/>
              <w:jc w:val="center"/>
              <w:rPr>
                <w:sz w:val="16"/>
                <w:szCs w:val="16"/>
              </w:rPr>
            </w:pPr>
            <w:proofErr w:type="spellStart"/>
            <w:r w:rsidRPr="006617D9">
              <w:rPr>
                <w:sz w:val="16"/>
                <w:szCs w:val="16"/>
              </w:rPr>
              <w:t>Xxxx</w:t>
            </w:r>
            <w:proofErr w:type="spellEnd"/>
          </w:p>
        </w:tc>
        <w:tc>
          <w:tcPr>
            <w:tcW w:w="1701" w:type="dxa"/>
            <w:vMerge/>
            <w:tcBorders>
              <w:top w:val="single" w:sz="4" w:space="0" w:color="auto"/>
              <w:bottom w:val="single" w:sz="4" w:space="0" w:color="auto"/>
            </w:tcBorders>
          </w:tcPr>
          <w:p w14:paraId="2416B2B3" w14:textId="77777777" w:rsidR="006617D9" w:rsidRPr="006617D9" w:rsidRDefault="006617D9" w:rsidP="00D60B47">
            <w:pPr>
              <w:widowControl w:val="0"/>
              <w:autoSpaceDE w:val="0"/>
              <w:autoSpaceDN w:val="0"/>
              <w:adjustRightInd w:val="0"/>
              <w:jc w:val="center"/>
              <w:rPr>
                <w:sz w:val="16"/>
                <w:szCs w:val="16"/>
              </w:rPr>
            </w:pPr>
          </w:p>
        </w:tc>
        <w:tc>
          <w:tcPr>
            <w:tcW w:w="1984" w:type="dxa"/>
            <w:vMerge/>
            <w:tcBorders>
              <w:top w:val="single" w:sz="4" w:space="0" w:color="auto"/>
              <w:bottom w:val="single" w:sz="4" w:space="0" w:color="auto"/>
            </w:tcBorders>
          </w:tcPr>
          <w:p w14:paraId="15D23B5F" w14:textId="77777777" w:rsidR="006617D9" w:rsidRPr="006617D9" w:rsidRDefault="006617D9" w:rsidP="00D60B47">
            <w:pPr>
              <w:widowControl w:val="0"/>
              <w:autoSpaceDE w:val="0"/>
              <w:autoSpaceDN w:val="0"/>
              <w:adjustRightInd w:val="0"/>
              <w:jc w:val="center"/>
              <w:rPr>
                <w:sz w:val="16"/>
                <w:szCs w:val="16"/>
              </w:rPr>
            </w:pPr>
          </w:p>
        </w:tc>
      </w:tr>
      <w:tr w:rsidR="006617D9" w:rsidRPr="006617D9" w14:paraId="272B7DDE" w14:textId="77777777" w:rsidTr="006617D9">
        <w:trPr>
          <w:trHeight w:val="20"/>
          <w:jc w:val="center"/>
        </w:trPr>
        <w:tc>
          <w:tcPr>
            <w:tcW w:w="2297" w:type="dxa"/>
            <w:gridSpan w:val="2"/>
            <w:tcBorders>
              <w:top w:val="single" w:sz="4" w:space="0" w:color="auto"/>
              <w:bottom w:val="nil"/>
            </w:tcBorders>
            <w:vAlign w:val="center"/>
          </w:tcPr>
          <w:p w14:paraId="50CCD94E" w14:textId="77777777" w:rsidR="006617D9" w:rsidRPr="006617D9" w:rsidRDefault="006617D9" w:rsidP="00D60B47">
            <w:pPr>
              <w:widowControl w:val="0"/>
              <w:autoSpaceDE w:val="0"/>
              <w:autoSpaceDN w:val="0"/>
              <w:adjustRightInd w:val="0"/>
              <w:rPr>
                <w:sz w:val="16"/>
                <w:szCs w:val="16"/>
              </w:rPr>
            </w:pPr>
            <w:r w:rsidRPr="006617D9">
              <w:rPr>
                <w:sz w:val="16"/>
                <w:szCs w:val="16"/>
              </w:rPr>
              <w:t>Control</w:t>
            </w:r>
          </w:p>
        </w:tc>
        <w:tc>
          <w:tcPr>
            <w:tcW w:w="1701" w:type="dxa"/>
            <w:tcBorders>
              <w:top w:val="single" w:sz="4" w:space="0" w:color="auto"/>
              <w:bottom w:val="nil"/>
            </w:tcBorders>
          </w:tcPr>
          <w:p w14:paraId="5DB96385" w14:textId="77777777" w:rsidR="006617D9" w:rsidRPr="006617D9" w:rsidRDefault="006617D9" w:rsidP="00D60B47">
            <w:pPr>
              <w:widowControl w:val="0"/>
              <w:autoSpaceDE w:val="0"/>
              <w:autoSpaceDN w:val="0"/>
              <w:adjustRightInd w:val="0"/>
              <w:rPr>
                <w:sz w:val="16"/>
                <w:szCs w:val="16"/>
              </w:rPr>
            </w:pPr>
            <w:r w:rsidRPr="006617D9">
              <w:rPr>
                <w:sz w:val="16"/>
                <w:szCs w:val="16"/>
              </w:rPr>
              <w:t xml:space="preserve">    24.0±8.0</w:t>
            </w:r>
            <w:r w:rsidRPr="006617D9">
              <w:rPr>
                <w:sz w:val="16"/>
                <w:szCs w:val="16"/>
                <w:vertAlign w:val="superscript"/>
              </w:rPr>
              <w:t>g</w:t>
            </w:r>
          </w:p>
        </w:tc>
        <w:tc>
          <w:tcPr>
            <w:tcW w:w="1984" w:type="dxa"/>
            <w:tcBorders>
              <w:top w:val="single" w:sz="4" w:space="0" w:color="auto"/>
              <w:bottom w:val="nil"/>
            </w:tcBorders>
          </w:tcPr>
          <w:p w14:paraId="2C2BCB85" w14:textId="77777777" w:rsidR="006617D9" w:rsidRPr="006617D9" w:rsidRDefault="006617D9" w:rsidP="00D60B47">
            <w:pPr>
              <w:widowControl w:val="0"/>
              <w:autoSpaceDE w:val="0"/>
              <w:autoSpaceDN w:val="0"/>
              <w:adjustRightInd w:val="0"/>
              <w:ind w:left="572"/>
              <w:jc w:val="both"/>
              <w:rPr>
                <w:sz w:val="16"/>
                <w:szCs w:val="16"/>
              </w:rPr>
            </w:pPr>
            <w:r w:rsidRPr="006617D9">
              <w:rPr>
                <w:sz w:val="16"/>
                <w:szCs w:val="16"/>
              </w:rPr>
              <w:t>2.0±1.47</w:t>
            </w:r>
            <w:r w:rsidRPr="006617D9">
              <w:rPr>
                <w:sz w:val="16"/>
                <w:szCs w:val="16"/>
                <w:vertAlign w:val="superscript"/>
              </w:rPr>
              <w:t>d*</w:t>
            </w:r>
          </w:p>
        </w:tc>
      </w:tr>
      <w:tr w:rsidR="006617D9" w:rsidRPr="006617D9" w14:paraId="0B910CA4" w14:textId="77777777" w:rsidTr="006617D9">
        <w:trPr>
          <w:trHeight w:val="20"/>
          <w:jc w:val="center"/>
        </w:trPr>
        <w:tc>
          <w:tcPr>
            <w:tcW w:w="1163" w:type="dxa"/>
            <w:tcBorders>
              <w:top w:val="nil"/>
            </w:tcBorders>
          </w:tcPr>
          <w:p w14:paraId="4A886B3D"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0.22 </w:t>
            </w:r>
          </w:p>
        </w:tc>
        <w:tc>
          <w:tcPr>
            <w:tcW w:w="1134" w:type="dxa"/>
            <w:tcBorders>
              <w:top w:val="nil"/>
            </w:tcBorders>
          </w:tcPr>
          <w:p w14:paraId="6E86E8D6"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0.00</w:t>
            </w:r>
          </w:p>
        </w:tc>
        <w:tc>
          <w:tcPr>
            <w:tcW w:w="1701" w:type="dxa"/>
            <w:tcBorders>
              <w:top w:val="nil"/>
            </w:tcBorders>
          </w:tcPr>
          <w:p w14:paraId="489F463D"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64.0±28.5</w:t>
            </w:r>
            <w:r w:rsidRPr="006617D9">
              <w:rPr>
                <w:sz w:val="16"/>
                <w:szCs w:val="16"/>
                <w:vertAlign w:val="superscript"/>
              </w:rPr>
              <w:t>cd</w:t>
            </w:r>
          </w:p>
        </w:tc>
        <w:tc>
          <w:tcPr>
            <w:tcW w:w="1984" w:type="dxa"/>
            <w:tcBorders>
              <w:top w:val="nil"/>
            </w:tcBorders>
          </w:tcPr>
          <w:p w14:paraId="21566C9A" w14:textId="77777777" w:rsidR="006617D9" w:rsidRPr="006617D9" w:rsidRDefault="006617D9" w:rsidP="00D60B47">
            <w:pPr>
              <w:widowControl w:val="0"/>
              <w:autoSpaceDE w:val="0"/>
              <w:autoSpaceDN w:val="0"/>
              <w:adjustRightInd w:val="0"/>
              <w:ind w:left="572"/>
              <w:jc w:val="both"/>
              <w:rPr>
                <w:sz w:val="16"/>
                <w:szCs w:val="16"/>
              </w:rPr>
            </w:pPr>
            <w:r w:rsidRPr="006617D9">
              <w:rPr>
                <w:sz w:val="16"/>
                <w:szCs w:val="16"/>
              </w:rPr>
              <w:t>18.0±10.4</w:t>
            </w:r>
            <w:r w:rsidRPr="006617D9">
              <w:rPr>
                <w:sz w:val="16"/>
                <w:szCs w:val="16"/>
                <w:vertAlign w:val="superscript"/>
              </w:rPr>
              <w:t>bc</w:t>
            </w:r>
          </w:p>
        </w:tc>
      </w:tr>
      <w:tr w:rsidR="006617D9" w:rsidRPr="006617D9" w14:paraId="6B345EE2" w14:textId="77777777" w:rsidTr="006617D9">
        <w:trPr>
          <w:trHeight w:val="20"/>
          <w:jc w:val="center"/>
        </w:trPr>
        <w:tc>
          <w:tcPr>
            <w:tcW w:w="1163" w:type="dxa"/>
          </w:tcPr>
          <w:p w14:paraId="569EA800" w14:textId="77777777" w:rsidR="006617D9" w:rsidRPr="006617D9" w:rsidRDefault="006617D9" w:rsidP="00D60B47">
            <w:pPr>
              <w:rPr>
                <w:sz w:val="16"/>
                <w:szCs w:val="16"/>
              </w:rPr>
            </w:pPr>
            <w:r w:rsidRPr="006617D9">
              <w:rPr>
                <w:sz w:val="16"/>
                <w:szCs w:val="16"/>
              </w:rPr>
              <w:t xml:space="preserve">  0.33                         </w:t>
            </w:r>
          </w:p>
          <w:p w14:paraId="1F9FD939"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1.0                            </w:t>
            </w:r>
          </w:p>
        </w:tc>
        <w:tc>
          <w:tcPr>
            <w:tcW w:w="1134" w:type="dxa"/>
          </w:tcPr>
          <w:p w14:paraId="525D35A6" w14:textId="77777777" w:rsidR="006617D9" w:rsidRPr="006617D9" w:rsidRDefault="006617D9" w:rsidP="00D60B47">
            <w:pPr>
              <w:rPr>
                <w:sz w:val="16"/>
                <w:szCs w:val="16"/>
              </w:rPr>
            </w:pPr>
            <w:r w:rsidRPr="006617D9">
              <w:rPr>
                <w:sz w:val="16"/>
                <w:szCs w:val="16"/>
              </w:rPr>
              <w:t xml:space="preserve">  0.00</w:t>
            </w:r>
          </w:p>
          <w:p w14:paraId="5CE00841"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0.00</w:t>
            </w:r>
          </w:p>
        </w:tc>
        <w:tc>
          <w:tcPr>
            <w:tcW w:w="1701" w:type="dxa"/>
          </w:tcPr>
          <w:p w14:paraId="19A9957C" w14:textId="77777777" w:rsidR="006617D9" w:rsidRPr="006617D9" w:rsidRDefault="006617D9" w:rsidP="00D60B47">
            <w:pPr>
              <w:ind w:left="-610" w:right="-198" w:firstLine="630"/>
              <w:rPr>
                <w:sz w:val="16"/>
                <w:szCs w:val="16"/>
                <w:vertAlign w:val="superscript"/>
              </w:rPr>
            </w:pPr>
            <w:r w:rsidRPr="006617D9">
              <w:rPr>
                <w:sz w:val="16"/>
                <w:szCs w:val="16"/>
              </w:rPr>
              <w:t xml:space="preserve">    60.0±24.5</w:t>
            </w:r>
            <w:r w:rsidRPr="006617D9">
              <w:rPr>
                <w:sz w:val="16"/>
                <w:szCs w:val="16"/>
                <w:vertAlign w:val="superscript"/>
              </w:rPr>
              <w:t>cde</w:t>
            </w:r>
          </w:p>
          <w:p w14:paraId="19D870CB"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48.0±20.5</w:t>
            </w:r>
            <w:r w:rsidRPr="006617D9">
              <w:rPr>
                <w:sz w:val="16"/>
                <w:szCs w:val="16"/>
                <w:vertAlign w:val="superscript"/>
              </w:rPr>
              <w:t>def</w:t>
            </w:r>
          </w:p>
        </w:tc>
        <w:tc>
          <w:tcPr>
            <w:tcW w:w="1984" w:type="dxa"/>
          </w:tcPr>
          <w:p w14:paraId="1F6BDECF" w14:textId="77777777" w:rsidR="006617D9" w:rsidRPr="006617D9" w:rsidRDefault="006617D9" w:rsidP="00D60B47">
            <w:pPr>
              <w:ind w:left="572"/>
              <w:jc w:val="both"/>
              <w:rPr>
                <w:sz w:val="16"/>
                <w:szCs w:val="16"/>
                <w:vertAlign w:val="superscript"/>
              </w:rPr>
            </w:pPr>
            <w:r w:rsidRPr="006617D9">
              <w:rPr>
                <w:sz w:val="16"/>
                <w:szCs w:val="16"/>
              </w:rPr>
              <w:t>22.0±11.5</w:t>
            </w:r>
            <w:r w:rsidRPr="006617D9">
              <w:rPr>
                <w:sz w:val="16"/>
                <w:szCs w:val="16"/>
                <w:vertAlign w:val="superscript"/>
              </w:rPr>
              <w:t>bc</w:t>
            </w:r>
          </w:p>
          <w:p w14:paraId="084F747C" w14:textId="77777777" w:rsidR="006617D9" w:rsidRPr="006617D9" w:rsidRDefault="006617D9" w:rsidP="00D60B47">
            <w:pPr>
              <w:widowControl w:val="0"/>
              <w:autoSpaceDE w:val="0"/>
              <w:autoSpaceDN w:val="0"/>
              <w:adjustRightInd w:val="0"/>
              <w:ind w:left="572"/>
              <w:jc w:val="both"/>
              <w:rPr>
                <w:sz w:val="16"/>
                <w:szCs w:val="16"/>
              </w:rPr>
            </w:pPr>
            <w:r w:rsidRPr="006617D9">
              <w:rPr>
                <w:sz w:val="16"/>
                <w:szCs w:val="16"/>
              </w:rPr>
              <w:t>24.0±13.1</w:t>
            </w:r>
            <w:r w:rsidRPr="006617D9">
              <w:rPr>
                <w:sz w:val="16"/>
                <w:szCs w:val="16"/>
                <w:vertAlign w:val="superscript"/>
              </w:rPr>
              <w:t>bc</w:t>
            </w:r>
          </w:p>
        </w:tc>
      </w:tr>
      <w:tr w:rsidR="006617D9" w:rsidRPr="006617D9" w14:paraId="6CF74416" w14:textId="77777777" w:rsidTr="006617D9">
        <w:trPr>
          <w:trHeight w:val="20"/>
          <w:jc w:val="center"/>
        </w:trPr>
        <w:tc>
          <w:tcPr>
            <w:tcW w:w="1163" w:type="dxa"/>
          </w:tcPr>
          <w:p w14:paraId="5328F9E3"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3.0</w:t>
            </w:r>
          </w:p>
        </w:tc>
        <w:tc>
          <w:tcPr>
            <w:tcW w:w="1134" w:type="dxa"/>
          </w:tcPr>
          <w:p w14:paraId="660767FB"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0.00</w:t>
            </w:r>
          </w:p>
        </w:tc>
        <w:tc>
          <w:tcPr>
            <w:tcW w:w="1701" w:type="dxa"/>
          </w:tcPr>
          <w:p w14:paraId="452D0550" w14:textId="77777777" w:rsidR="006617D9" w:rsidRPr="006617D9" w:rsidRDefault="006617D9" w:rsidP="00D60B47">
            <w:pPr>
              <w:widowControl w:val="0"/>
              <w:autoSpaceDE w:val="0"/>
              <w:autoSpaceDN w:val="0"/>
              <w:adjustRightInd w:val="0"/>
              <w:jc w:val="both"/>
              <w:rPr>
                <w:sz w:val="16"/>
                <w:szCs w:val="16"/>
              </w:rPr>
            </w:pPr>
            <w:r w:rsidRPr="006617D9">
              <w:rPr>
                <w:sz w:val="16"/>
                <w:szCs w:val="16"/>
              </w:rPr>
              <w:t xml:space="preserve">    90.0±30.3</w:t>
            </w:r>
            <w:r w:rsidRPr="006617D9">
              <w:rPr>
                <w:sz w:val="16"/>
                <w:szCs w:val="16"/>
                <w:vertAlign w:val="superscript"/>
              </w:rPr>
              <w:t>ab</w:t>
            </w:r>
          </w:p>
        </w:tc>
        <w:tc>
          <w:tcPr>
            <w:tcW w:w="1984" w:type="dxa"/>
          </w:tcPr>
          <w:p w14:paraId="6B31B4F0" w14:textId="77777777" w:rsidR="006617D9" w:rsidRPr="006617D9" w:rsidRDefault="006617D9" w:rsidP="00D60B47">
            <w:pPr>
              <w:widowControl w:val="0"/>
              <w:autoSpaceDE w:val="0"/>
              <w:autoSpaceDN w:val="0"/>
              <w:adjustRightInd w:val="0"/>
              <w:ind w:left="572"/>
              <w:jc w:val="both"/>
              <w:rPr>
                <w:sz w:val="16"/>
                <w:szCs w:val="16"/>
              </w:rPr>
            </w:pPr>
            <w:r w:rsidRPr="006617D9">
              <w:rPr>
                <w:sz w:val="16"/>
                <w:szCs w:val="16"/>
              </w:rPr>
              <w:t>28.0±17.4</w:t>
            </w:r>
            <w:r w:rsidRPr="006617D9">
              <w:rPr>
                <w:sz w:val="16"/>
                <w:szCs w:val="16"/>
                <w:vertAlign w:val="superscript"/>
              </w:rPr>
              <w:t>bc</w:t>
            </w:r>
          </w:p>
        </w:tc>
      </w:tr>
    </w:tbl>
    <w:p w14:paraId="64FBE538" w14:textId="77777777" w:rsidR="006617D9" w:rsidRPr="00652D07" w:rsidRDefault="006617D9" w:rsidP="006617D9">
      <w:pPr>
        <w:tabs>
          <w:tab w:val="left" w:pos="9630"/>
          <w:tab w:val="left" w:pos="10260"/>
        </w:tabs>
        <w:spacing w:before="80"/>
        <w:ind w:left="2127" w:hanging="709"/>
        <w:rPr>
          <w:rFonts w:ascii="Arial" w:hAnsi="Arial"/>
        </w:rPr>
      </w:pPr>
      <w:r w:rsidRPr="006617D9">
        <w:rPr>
          <w:sz w:val="16"/>
          <w:szCs w:val="16"/>
        </w:rPr>
        <w:t>Remarks: *Mean values within a column followed by the same letters are not significantly different at p &lt; 0.05 according to Duncan’s Multiple Range Test</w:t>
      </w:r>
      <w:r>
        <w:t>.</w:t>
      </w:r>
    </w:p>
    <w:p w14:paraId="2E957E78" w14:textId="77777777" w:rsidR="006617D9" w:rsidRDefault="006617D9" w:rsidP="00BA67E6">
      <w:pPr>
        <w:jc w:val="both"/>
      </w:pPr>
    </w:p>
    <w:p w14:paraId="3821955D" w14:textId="77777777" w:rsidR="00BA67E6" w:rsidRPr="00BA67E6" w:rsidRDefault="00BA67E6" w:rsidP="00BA67E6">
      <w:pPr>
        <w:pStyle w:val="ListParagraph"/>
        <w:ind w:left="426"/>
      </w:pPr>
    </w:p>
    <w:p w14:paraId="7B6BED78" w14:textId="77777777" w:rsidR="004137E7" w:rsidRDefault="004137E7" w:rsidP="00BA67E6">
      <w:pPr>
        <w:pStyle w:val="ListParagraph"/>
        <w:numPr>
          <w:ilvl w:val="0"/>
          <w:numId w:val="1"/>
        </w:numPr>
        <w:spacing w:line="360" w:lineRule="auto"/>
        <w:ind w:left="426" w:hanging="426"/>
        <w:rPr>
          <w:b/>
          <w:bCs/>
        </w:rPr>
      </w:pPr>
      <w:r w:rsidRPr="004137E7">
        <w:rPr>
          <w:b/>
          <w:bCs/>
        </w:rPr>
        <w:t>RESULTS AND DISCUSSION (10 PT)</w:t>
      </w:r>
    </w:p>
    <w:p w14:paraId="768208E1" w14:textId="77777777" w:rsidR="00BA67E6" w:rsidRDefault="00BA67E6" w:rsidP="00BA67E6">
      <w:pPr>
        <w:jc w:val="both"/>
      </w:pPr>
      <w:r>
        <w:t xml:space="preserve">In this section, it is explained the results of research and at the same time is given the comprehensive discussion. Results can be presented in figures, graphs, tables and others that make the reader understand easily </w:t>
      </w:r>
      <w:r w:rsidR="00CA19F9" w:rsidRPr="003D6B19">
        <w:fldChar w:fldCharType="begin" w:fldLock="1"/>
      </w:r>
      <w:r w:rsidR="00CA19F9"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CA19F9" w:rsidRPr="003D6B19">
        <w:fldChar w:fldCharType="separate"/>
      </w:r>
      <w:r w:rsidR="00CA19F9" w:rsidRPr="003D6B19">
        <w:rPr>
          <w:noProof/>
        </w:rPr>
        <w:t>[14], [15]</w:t>
      </w:r>
      <w:r w:rsidR="00CA19F9" w:rsidRPr="003D6B19">
        <w:fldChar w:fldCharType="end"/>
      </w:r>
      <w:r>
        <w:t>. The discussion can be made in several sub-sections.</w:t>
      </w:r>
    </w:p>
    <w:p w14:paraId="759B9C57" w14:textId="77777777" w:rsidR="00BA67E6" w:rsidRDefault="00BA67E6" w:rsidP="00BA67E6"/>
    <w:p w14:paraId="6DC9B881" w14:textId="77777777" w:rsidR="00BA67E6" w:rsidRPr="00BA67E6" w:rsidRDefault="00BA67E6" w:rsidP="00BA67E6">
      <w:pPr>
        <w:spacing w:line="276" w:lineRule="auto"/>
        <w:rPr>
          <w:b/>
          <w:bCs/>
        </w:rPr>
      </w:pPr>
      <w:r w:rsidRPr="00BA67E6">
        <w:rPr>
          <w:b/>
          <w:bCs/>
        </w:rPr>
        <w:t>3.1.  Sub section 1</w:t>
      </w:r>
    </w:p>
    <w:p w14:paraId="6EB8134A" w14:textId="77777777" w:rsidR="00BA67E6" w:rsidRPr="00BA67E6" w:rsidRDefault="006617D9" w:rsidP="00BA67E6">
      <w:pPr>
        <w:jc w:val="both"/>
      </w:pPr>
      <w:r w:rsidRPr="006617D9">
        <w:t xml:space="preserve">Equations should be centered on the line and sequentially numbered with equation numbers in parentheses aligned to the right margin, as shown in (1), and cited in the manuscript. The use of Microsoft Equation Editor or </w:t>
      </w:r>
      <w:proofErr w:type="spellStart"/>
      <w:r w:rsidRPr="006617D9">
        <w:t>MathType</w:t>
      </w:r>
      <w:proofErr w:type="spellEnd"/>
      <w:r w:rsidRPr="006617D9">
        <w:t xml:space="preserve"> is preferred.</w:t>
      </w:r>
    </w:p>
    <w:p w14:paraId="26C8E36A" w14:textId="77777777" w:rsidR="00BA67E6" w:rsidRPr="003D6B19" w:rsidRDefault="00BA67E6" w:rsidP="00BA67E6">
      <w:pPr>
        <w:rPr>
          <w:bCs/>
          <w:lang w:val="id-ID"/>
        </w:rPr>
      </w:pPr>
    </w:p>
    <w:p w14:paraId="03C911C8" w14:textId="77777777" w:rsidR="00BA67E6" w:rsidRPr="004F4003" w:rsidRDefault="00000000" w:rsidP="00BA67E6">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BA67E6" w:rsidRPr="003D6B19">
        <w:rPr>
          <w:bCs/>
        </w:rPr>
        <w:t>)</w:t>
      </w:r>
      <w:r w:rsidR="00BA67E6" w:rsidRPr="003D6B19">
        <w:rPr>
          <w:bCs/>
        </w:rPr>
        <w:tab/>
      </w:r>
      <w:r w:rsidR="00BA67E6" w:rsidRPr="00735BBC">
        <w:rPr>
          <w:bCs/>
        </w:rPr>
        <w:t>(1)</w:t>
      </w:r>
    </w:p>
    <w:p w14:paraId="53BBE8F1" w14:textId="77777777" w:rsidR="00BA67E6" w:rsidRPr="003D6B19" w:rsidRDefault="00BA67E6" w:rsidP="00BA67E6">
      <w:pPr>
        <w:rPr>
          <w:bCs/>
          <w:lang w:val="id-ID"/>
        </w:rPr>
      </w:pPr>
    </w:p>
    <w:p w14:paraId="6AE443BC" w14:textId="77777777" w:rsidR="00BA67E6" w:rsidRDefault="00BA67E6" w:rsidP="00BA67E6">
      <w:r>
        <w:t>All symbols that have been used in the equations should be defined in the following text.</w:t>
      </w:r>
    </w:p>
    <w:p w14:paraId="52076980" w14:textId="77777777" w:rsidR="00BA67E6" w:rsidRDefault="00BA67E6" w:rsidP="00BA67E6"/>
    <w:p w14:paraId="0167240D" w14:textId="77777777" w:rsidR="00BA67E6" w:rsidRPr="00BA67E6" w:rsidRDefault="00BA67E6" w:rsidP="00BA67E6">
      <w:pPr>
        <w:spacing w:line="276" w:lineRule="auto"/>
        <w:rPr>
          <w:b/>
          <w:bCs/>
        </w:rPr>
      </w:pPr>
      <w:r w:rsidRPr="00BA67E6">
        <w:rPr>
          <w:b/>
          <w:bCs/>
        </w:rPr>
        <w:t>3.2.  Sub section 2</w:t>
      </w:r>
    </w:p>
    <w:p w14:paraId="6CDEC450" w14:textId="77777777" w:rsidR="00BA67E6" w:rsidRDefault="006617D9" w:rsidP="006617D9">
      <w:pPr>
        <w:jc w:val="both"/>
      </w:pPr>
      <w:r w:rsidRPr="006617D9">
        <w:t>Proper citation of other works is essential to avoid plagiarism. When citing a reference, use the reference number, such as </w:t>
      </w:r>
      <w:r w:rsidR="00CA19F9" w:rsidRPr="003D6B19">
        <w:rPr>
          <w:bCs/>
          <w:lang w:val="id-ID"/>
        </w:rPr>
        <w:fldChar w:fldCharType="begin" w:fldLock="1"/>
      </w:r>
      <w:r w:rsidR="00CA19F9"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00CA19F9" w:rsidRPr="003D6B19">
        <w:rPr>
          <w:bCs/>
          <w:lang w:val="id-ID"/>
        </w:rPr>
        <w:fldChar w:fldCharType="separate"/>
      </w:r>
      <w:r w:rsidR="00CA19F9" w:rsidRPr="003D6B19">
        <w:rPr>
          <w:bCs/>
          <w:noProof/>
          <w:lang w:val="id-ID"/>
        </w:rPr>
        <w:t>[16]</w:t>
      </w:r>
      <w:r w:rsidR="00CA19F9" w:rsidRPr="003D6B19">
        <w:rPr>
          <w:bCs/>
          <w:lang w:val="id-ID"/>
        </w:rPr>
        <w:fldChar w:fldCharType="end"/>
      </w:r>
      <w:r w:rsidRPr="006617D9">
        <w:t>, or </w:t>
      </w:r>
      <w:r w:rsidR="00CA19F9" w:rsidRPr="003D6B19">
        <w:rPr>
          <w:bCs/>
          <w:lang w:val="id-ID"/>
        </w:rPr>
        <w:fldChar w:fldCharType="begin" w:fldLock="1"/>
      </w:r>
      <w:r w:rsidR="00CA19F9"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00CA19F9" w:rsidRPr="003D6B19">
        <w:rPr>
          <w:bCs/>
          <w:lang w:val="id-ID"/>
        </w:rPr>
        <w:fldChar w:fldCharType="separate"/>
      </w:r>
      <w:r w:rsidR="00CA19F9" w:rsidRPr="003D6B19">
        <w:rPr>
          <w:bCs/>
          <w:noProof/>
          <w:lang w:val="id-ID"/>
        </w:rPr>
        <w:t>[17]</w:t>
      </w:r>
      <w:r w:rsidR="00CA19F9" w:rsidRPr="003D6B19">
        <w:rPr>
          <w:bCs/>
          <w:lang w:val="id-ID"/>
        </w:rPr>
        <w:fldChar w:fldCharType="end"/>
      </w:r>
      <w:r w:rsidRPr="006617D9">
        <w:t> for multiple references. At the beginning of a sentence, use "Ref </w:t>
      </w:r>
      <w:r w:rsidR="00CA19F9" w:rsidRPr="003D6B19">
        <w:rPr>
          <w:bCs/>
          <w:lang w:val="id-ID"/>
        </w:rPr>
        <w:fldChar w:fldCharType="begin" w:fldLock="1"/>
      </w:r>
      <w:r w:rsidR="00CA19F9"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00CA19F9" w:rsidRPr="003D6B19">
        <w:rPr>
          <w:bCs/>
          <w:lang w:val="id-ID"/>
        </w:rPr>
        <w:fldChar w:fldCharType="separate"/>
      </w:r>
      <w:r w:rsidR="00CA19F9" w:rsidRPr="003D6B19">
        <w:rPr>
          <w:bCs/>
          <w:noProof/>
          <w:lang w:val="id-ID"/>
        </w:rPr>
        <w:t>[18]</w:t>
      </w:r>
      <w:r w:rsidR="00CA19F9" w:rsidRPr="003D6B19">
        <w:rPr>
          <w:bCs/>
          <w:lang w:val="id-ID"/>
        </w:rPr>
        <w:fldChar w:fldCharType="end"/>
      </w:r>
      <w:r w:rsidRPr="006617D9">
        <w:t>..." for reference citation. For references with more than three authors, list only the first author followed by "et al." (e.g., in </w:t>
      </w:r>
      <w:r w:rsidR="00CA19F9" w:rsidRPr="003D6B19">
        <w:rPr>
          <w:bCs/>
          <w:lang w:val="id-ID"/>
        </w:rPr>
        <w:fldChar w:fldCharType="begin" w:fldLock="1"/>
      </w:r>
      <w:r w:rsidR="00CA19F9"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00CA19F9" w:rsidRPr="003D6B19">
        <w:rPr>
          <w:bCs/>
          <w:lang w:val="id-ID"/>
        </w:rPr>
        <w:fldChar w:fldCharType="separate"/>
      </w:r>
      <w:r w:rsidR="00CA19F9" w:rsidRPr="003D6B19">
        <w:rPr>
          <w:bCs/>
          <w:noProof/>
          <w:lang w:val="id-ID"/>
        </w:rPr>
        <w:t>[19]</w:t>
      </w:r>
      <w:r w:rsidR="00CA19F9" w:rsidRPr="003D6B19">
        <w:rPr>
          <w:bCs/>
          <w:lang w:val="id-ID"/>
        </w:rPr>
        <w:fldChar w:fldCharType="end"/>
      </w:r>
      <w:r w:rsidRPr="006617D9">
        <w:t xml:space="preserve">). Examples of reference items from different categories are shown in the References section. Each item in the References section should be typed in 8 </w:t>
      </w:r>
      <w:proofErr w:type="spellStart"/>
      <w:r w:rsidRPr="006617D9">
        <w:t>pt</w:t>
      </w:r>
      <w:proofErr w:type="spellEnd"/>
      <w:r w:rsidRPr="006617D9">
        <w:t xml:space="preserve"> font size </w:t>
      </w:r>
      <w:r w:rsidR="00CA19F9" w:rsidRPr="003D6B19">
        <w:rPr>
          <w:bCs/>
        </w:rPr>
        <w:fldChar w:fldCharType="begin" w:fldLock="1"/>
      </w:r>
      <w:r w:rsidR="00CA19F9"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00CA19F9" w:rsidRPr="003D6B19">
        <w:rPr>
          <w:bCs/>
        </w:rPr>
        <w:fldChar w:fldCharType="separate"/>
      </w:r>
      <w:r w:rsidR="00CA19F9" w:rsidRPr="003D6B19">
        <w:rPr>
          <w:bCs/>
          <w:noProof/>
        </w:rPr>
        <w:t>[20]–[25]</w:t>
      </w:r>
      <w:r w:rsidR="00CA19F9" w:rsidRPr="003D6B19">
        <w:rPr>
          <w:bCs/>
        </w:rPr>
        <w:fldChar w:fldCharType="end"/>
      </w:r>
      <w:r>
        <w:t>.</w:t>
      </w:r>
    </w:p>
    <w:p w14:paraId="391E16BE" w14:textId="77777777" w:rsidR="00BA67E6" w:rsidRDefault="00BA67E6" w:rsidP="00BA67E6"/>
    <w:p w14:paraId="525B489F" w14:textId="77777777" w:rsidR="00BA67E6" w:rsidRDefault="00BA67E6" w:rsidP="00BA67E6">
      <w:r>
        <w:t xml:space="preserve">3.2.1. </w:t>
      </w:r>
      <w:proofErr w:type="spellStart"/>
      <w:r>
        <w:t>Subsub</w:t>
      </w:r>
      <w:proofErr w:type="spellEnd"/>
      <w:r>
        <w:t xml:space="preserve"> section 1</w:t>
      </w:r>
    </w:p>
    <w:p w14:paraId="12FDCE30" w14:textId="77777777" w:rsidR="00BA67E6" w:rsidRDefault="00BA67E6" w:rsidP="00BA67E6">
      <w:r>
        <w:t>aa</w:t>
      </w:r>
    </w:p>
    <w:p w14:paraId="2DDBB36C" w14:textId="77777777" w:rsidR="00BA67E6" w:rsidRDefault="00BA67E6" w:rsidP="00BA67E6"/>
    <w:p w14:paraId="607F019C" w14:textId="77777777" w:rsidR="00BA67E6" w:rsidRDefault="00BA67E6" w:rsidP="00BA67E6">
      <w:r>
        <w:t xml:space="preserve">3.2.2. </w:t>
      </w:r>
      <w:proofErr w:type="spellStart"/>
      <w:r>
        <w:t>Subsub</w:t>
      </w:r>
      <w:proofErr w:type="spellEnd"/>
      <w:r>
        <w:t xml:space="preserve"> section 2</w:t>
      </w:r>
    </w:p>
    <w:p w14:paraId="036DB38A" w14:textId="77777777" w:rsidR="00BA67E6" w:rsidRDefault="00BA67E6" w:rsidP="00BA67E6">
      <w:r>
        <w:t>bb</w:t>
      </w:r>
    </w:p>
    <w:p w14:paraId="228D5DE5" w14:textId="77777777" w:rsidR="00BA67E6" w:rsidRPr="00BA67E6" w:rsidRDefault="00BA67E6" w:rsidP="00BA67E6"/>
    <w:p w14:paraId="2457ECD7" w14:textId="77777777" w:rsidR="00BA67E6" w:rsidRDefault="00BA67E6" w:rsidP="00BA67E6">
      <w:pPr>
        <w:pStyle w:val="ListParagraph"/>
        <w:ind w:left="426"/>
        <w:rPr>
          <w:b/>
          <w:bCs/>
        </w:rPr>
      </w:pPr>
    </w:p>
    <w:p w14:paraId="5C25B4FE" w14:textId="77777777" w:rsidR="004137E7" w:rsidRPr="004137E7" w:rsidRDefault="004137E7" w:rsidP="00E220B4">
      <w:pPr>
        <w:pStyle w:val="ListParagraph"/>
        <w:numPr>
          <w:ilvl w:val="0"/>
          <w:numId w:val="1"/>
        </w:numPr>
        <w:spacing w:line="360" w:lineRule="auto"/>
        <w:ind w:left="426" w:hanging="426"/>
        <w:rPr>
          <w:b/>
          <w:bCs/>
        </w:rPr>
      </w:pPr>
      <w:r w:rsidRPr="004137E7">
        <w:rPr>
          <w:b/>
          <w:bCs/>
        </w:rPr>
        <w:t>CONCLUSION (10 PT)</w:t>
      </w:r>
    </w:p>
    <w:p w14:paraId="2D9D59A7" w14:textId="77777777" w:rsidR="00D357C6" w:rsidRDefault="006617D9" w:rsidP="00E51D4A">
      <w:pPr>
        <w:ind w:firstLine="426"/>
        <w:jc w:val="both"/>
      </w:pPr>
      <w:r>
        <w:t>Provide</w:t>
      </w:r>
      <w:r w:rsidRPr="006617D9">
        <w:t xml:space="preserve"> a statement ensuring that the expectations outlined in the "INTRODUCTION" section align with the outcomes in the "RESULTS AND DISCUSSION" section, ensuring compatibility. Additionally, discuss </w:t>
      </w:r>
      <w:r w:rsidRPr="006617D9">
        <w:lastRenderedPageBreak/>
        <w:t>the potential for further development of the research results and the application prospects for future studies based on these findings.</w:t>
      </w:r>
      <w:r>
        <w:t xml:space="preserve"> Conclusion </w:t>
      </w:r>
      <w:r w:rsidRPr="006617D9">
        <w:t xml:space="preserve">must be written continuously in one paragraph stating the main result of the research and it must not exceed </w:t>
      </w:r>
      <w:r w:rsidR="00E51D4A">
        <w:t>200</w:t>
      </w:r>
      <w:r w:rsidRPr="006617D9">
        <w:t xml:space="preserve"> words</w:t>
      </w:r>
      <w:r>
        <w:t>.</w:t>
      </w:r>
    </w:p>
    <w:p w14:paraId="08852C4B" w14:textId="77777777" w:rsidR="00E51D4A" w:rsidRDefault="00E51D4A" w:rsidP="00E51D4A">
      <w:pPr>
        <w:ind w:firstLine="426"/>
        <w:jc w:val="both"/>
      </w:pPr>
    </w:p>
    <w:p w14:paraId="7800FDCD" w14:textId="77777777" w:rsidR="003F6A32" w:rsidRDefault="003F6A32" w:rsidP="00D357C6"/>
    <w:p w14:paraId="5915A964" w14:textId="77777777" w:rsidR="00D357C6" w:rsidRPr="00D357C6" w:rsidRDefault="00D357C6" w:rsidP="00CA19F9">
      <w:pPr>
        <w:spacing w:line="276" w:lineRule="auto"/>
        <w:rPr>
          <w:b/>
          <w:bCs/>
        </w:rPr>
      </w:pPr>
      <w:r w:rsidRPr="00D357C6">
        <w:rPr>
          <w:b/>
          <w:bCs/>
        </w:rPr>
        <w:t>ACKNOWLEDGEMENTS (10 PT)</w:t>
      </w:r>
    </w:p>
    <w:p w14:paraId="2F104E33" w14:textId="77777777" w:rsidR="00D357C6" w:rsidRDefault="00D357C6" w:rsidP="003F6A32">
      <w:pPr>
        <w:ind w:firstLine="567"/>
        <w:jc w:val="both"/>
      </w:pPr>
      <w:r>
        <w:t>Author thanks .... In most cases, sponsor and financial support acknowledgments.</w:t>
      </w:r>
      <w:r w:rsidR="003F6A32">
        <w:t xml:space="preserve"> </w:t>
      </w:r>
      <w:r w:rsidR="003F6A32" w:rsidRPr="003F6A32">
        <w:t xml:space="preserve">Acknowledgments is where you acknowledge individuals who do not qualify for co-authorship but have contributed to your article intellectually, financially, or in some other manner. </w:t>
      </w:r>
      <w:r w:rsidR="00E51D4A" w:rsidRPr="00E51D4A">
        <w:t>Add information about grants, awards, or other types of funding that you have received to support your research</w:t>
      </w:r>
      <w:r w:rsidR="00E51D4A">
        <w:t xml:space="preserve">. </w:t>
      </w:r>
      <w:r w:rsidR="003F6A32" w:rsidRPr="003F6A32">
        <w:t>Acknowledging someone in your academic texts enhances your integrity as a writer by demonstrating that you are not claiming the ideas of other academics as your own intellectual property.</w:t>
      </w:r>
    </w:p>
    <w:p w14:paraId="1F94D172" w14:textId="77777777" w:rsidR="00D357C6" w:rsidRDefault="00D357C6" w:rsidP="00D357C6"/>
    <w:p w14:paraId="2B33D0DE" w14:textId="77777777" w:rsidR="00D357C6" w:rsidRDefault="00D357C6" w:rsidP="00D357C6"/>
    <w:p w14:paraId="7DE08EF0" w14:textId="77777777" w:rsidR="00D357C6" w:rsidRPr="00D357C6" w:rsidRDefault="00D357C6" w:rsidP="00CA19F9">
      <w:pPr>
        <w:spacing w:line="276" w:lineRule="auto"/>
        <w:rPr>
          <w:b/>
          <w:bCs/>
        </w:rPr>
      </w:pPr>
      <w:r w:rsidRPr="00D357C6">
        <w:rPr>
          <w:b/>
          <w:bCs/>
        </w:rPr>
        <w:t>REFERENCES (10 PT)</w:t>
      </w:r>
    </w:p>
    <w:p w14:paraId="2AD89988" w14:textId="6EBD863F" w:rsidR="00D357C6" w:rsidRPr="003F6A32" w:rsidRDefault="00D357C6" w:rsidP="003F6A32">
      <w:pPr>
        <w:spacing w:line="276" w:lineRule="auto"/>
        <w:ind w:firstLine="426"/>
        <w:jc w:val="both"/>
        <w:rPr>
          <w:sz w:val="16"/>
          <w:szCs w:val="16"/>
        </w:rPr>
      </w:pPr>
      <w:r w:rsidRPr="003F6A32">
        <w:rPr>
          <w:sz w:val="16"/>
          <w:szCs w:val="16"/>
        </w:rPr>
        <w:t>The main references are international journals and proceedings. All references should be to the most pertinent, up-to-date sources and the minimum of references are 2</w:t>
      </w:r>
      <w:r w:rsidR="00F20C31">
        <w:rPr>
          <w:sz w:val="16"/>
          <w:szCs w:val="16"/>
        </w:rPr>
        <w:t>0</w:t>
      </w:r>
      <w:r w:rsidRPr="003F6A32">
        <w:rPr>
          <w:sz w:val="16"/>
          <w:szCs w:val="16"/>
        </w:rPr>
        <w:t xml:space="preserve"> entries (for original research paper) and </w:t>
      </w:r>
      <w:r w:rsidR="00F20C31">
        <w:rPr>
          <w:sz w:val="16"/>
          <w:szCs w:val="16"/>
        </w:rPr>
        <w:t>40</w:t>
      </w:r>
      <w:r w:rsidRPr="003F6A32">
        <w:rPr>
          <w:sz w:val="16"/>
          <w:szCs w:val="16"/>
        </w:rPr>
        <w:t xml:space="preserve"> entries (for review/survey paper). References are written in IEEE style. For more complete guide can be accessed at (</w:t>
      </w:r>
      <w:hyperlink r:id="rId14" w:history="1">
        <w:r w:rsidR="00E220B4" w:rsidRPr="009C191E">
          <w:rPr>
            <w:rStyle w:val="Hyperlink"/>
            <w:sz w:val="16"/>
            <w:szCs w:val="16"/>
          </w:rPr>
          <w:t>http://ipmuonline.com/guide/refstyle.pdf</w:t>
        </w:r>
      </w:hyperlink>
      <w:r w:rsidR="00E220B4">
        <w:rPr>
          <w:sz w:val="16"/>
          <w:szCs w:val="16"/>
        </w:rPr>
        <w:t>)</w:t>
      </w:r>
      <w:r w:rsidRPr="003F6A32">
        <w:rPr>
          <w:sz w:val="16"/>
          <w:szCs w:val="16"/>
        </w:rPr>
        <w:t xml:space="preserve">. Use of a tool such as EndNote, Mendeley, or Zotero for reference management and formatting, and choose IEEE style. Please use a consistent format for references-see examples (8 </w:t>
      </w:r>
      <w:proofErr w:type="spellStart"/>
      <w:r w:rsidRPr="003F6A32">
        <w:rPr>
          <w:sz w:val="16"/>
          <w:szCs w:val="16"/>
        </w:rPr>
        <w:t>pt</w:t>
      </w:r>
      <w:proofErr w:type="spellEnd"/>
      <w:r w:rsidRPr="003F6A32">
        <w:rPr>
          <w:sz w:val="16"/>
          <w:szCs w:val="16"/>
        </w:rPr>
        <w:t>):</w:t>
      </w:r>
    </w:p>
    <w:p w14:paraId="5286B220"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color w:val="000000"/>
          <w:sz w:val="16"/>
          <w:szCs w:val="16"/>
        </w:rPr>
        <w:fldChar w:fldCharType="begin" w:fldLock="1"/>
      </w:r>
      <w:r w:rsidRPr="00C523CB">
        <w:rPr>
          <w:color w:val="000000"/>
          <w:sz w:val="16"/>
          <w:szCs w:val="16"/>
        </w:rPr>
        <w:instrText xml:space="preserve">ADDIN Mendeley Bibliography CSL_BIBLIOGRAPHY </w:instrText>
      </w:r>
      <w:r w:rsidRPr="00C523CB">
        <w:rPr>
          <w:color w:val="000000"/>
          <w:sz w:val="16"/>
          <w:szCs w:val="16"/>
        </w:rPr>
        <w:fldChar w:fldCharType="separate"/>
      </w:r>
      <w:r w:rsidRPr="00C523CB">
        <w:rPr>
          <w:noProof/>
          <w:sz w:val="16"/>
          <w:szCs w:val="22"/>
        </w:rPr>
        <w:t>[1]</w:t>
      </w:r>
      <w:r w:rsidRPr="00C523CB">
        <w:rPr>
          <w:noProof/>
          <w:sz w:val="16"/>
          <w:szCs w:val="22"/>
        </w:rPr>
        <w:tab/>
        <w:t xml:space="preserve">M. Sigala, A. Beer, L. Hodgson, and A. O’Connor, </w:t>
      </w:r>
      <w:r w:rsidRPr="00C523CB">
        <w:rPr>
          <w:i/>
          <w:iCs/>
          <w:noProof/>
          <w:sz w:val="16"/>
          <w:szCs w:val="22"/>
        </w:rPr>
        <w:t>Big Data for Measuring the Impact of Tourism Economic Development Programmes: A Process and Quality Criteria Framework for Using Big Data</w:t>
      </w:r>
      <w:r w:rsidRPr="00C523CB">
        <w:rPr>
          <w:noProof/>
          <w:sz w:val="16"/>
          <w:szCs w:val="22"/>
        </w:rPr>
        <w:t>. 2019.</w:t>
      </w:r>
    </w:p>
    <w:p w14:paraId="146C468D"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w:t>
      </w:r>
      <w:r w:rsidRPr="00C523CB">
        <w:rPr>
          <w:noProof/>
          <w:sz w:val="16"/>
          <w:szCs w:val="22"/>
        </w:rPr>
        <w:tab/>
        <w:t xml:space="preserve">G. Nguyen </w:t>
      </w:r>
      <w:r w:rsidRPr="00C523CB">
        <w:rPr>
          <w:i/>
          <w:iCs/>
          <w:noProof/>
          <w:sz w:val="16"/>
          <w:szCs w:val="22"/>
        </w:rPr>
        <w:t>et al.</w:t>
      </w:r>
      <w:r w:rsidRPr="00C523CB">
        <w:rPr>
          <w:noProof/>
          <w:sz w:val="16"/>
          <w:szCs w:val="22"/>
        </w:rPr>
        <w:t xml:space="preserve">, “Machine Learning and Deep Learning frameworks and libraries for large-scale data mining: a survey,” </w:t>
      </w:r>
      <w:r w:rsidRPr="00C523CB">
        <w:rPr>
          <w:i/>
          <w:iCs/>
          <w:noProof/>
          <w:sz w:val="16"/>
          <w:szCs w:val="22"/>
        </w:rPr>
        <w:t>Artif. Intell. Rev.</w:t>
      </w:r>
      <w:r w:rsidRPr="00C523CB">
        <w:rPr>
          <w:noProof/>
          <w:sz w:val="16"/>
          <w:szCs w:val="22"/>
        </w:rPr>
        <w:t>, vol. 52, no. 1, pp. 77–124, 2019, doi: 10.1007/s10462-018-09679-z.</w:t>
      </w:r>
    </w:p>
    <w:p w14:paraId="18DB494B"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[3]</w:t>
      </w:r>
      <w:r w:rsidRPr="00C523CB">
        <w:rPr>
          <w:noProof/>
          <w:sz w:val="16"/>
          <w:szCs w:val="22"/>
        </w:rPr>
        <w:tab/>
        <w:t xml:space="preserve">C. Shorten and T. M. Khoshgoftaar, “A survey on Image Data Augmentation for Deep Learning,” </w:t>
      </w:r>
      <w:r w:rsidRPr="00C523CB">
        <w:rPr>
          <w:i/>
          <w:iCs/>
          <w:noProof/>
          <w:sz w:val="16"/>
          <w:szCs w:val="22"/>
        </w:rPr>
        <w:t>J. Big Data</w:t>
      </w:r>
      <w:r w:rsidRPr="00C523CB">
        <w:rPr>
          <w:noProof/>
          <w:sz w:val="16"/>
          <w:szCs w:val="22"/>
        </w:rPr>
        <w:t>, vol. 6, no. 1, 2019, doi: 10.1186/s40537-019-0197-0.</w:t>
      </w:r>
    </w:p>
    <w:p w14:paraId="2F979352"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[4]</w:t>
      </w:r>
      <w:r w:rsidRPr="00C523CB">
        <w:rPr>
          <w:noProof/>
          <w:sz w:val="16"/>
          <w:szCs w:val="22"/>
        </w:rPr>
        <w:tab/>
        <w:t xml:space="preserve">R. Vinayakumar, M. Alazab, K. P. Soman, P. Poornachandran, A. Al-Nemrat, and S. Venkatraman, “Deep Learning Approach for Intelligent Intrusion Detection System,” </w:t>
      </w:r>
      <w:r w:rsidRPr="00C523CB">
        <w:rPr>
          <w:i/>
          <w:iCs/>
          <w:noProof/>
          <w:sz w:val="16"/>
          <w:szCs w:val="22"/>
        </w:rPr>
        <w:t>IEEE Access</w:t>
      </w:r>
      <w:r w:rsidRPr="00C523CB">
        <w:rPr>
          <w:noProof/>
          <w:sz w:val="16"/>
          <w:szCs w:val="22"/>
        </w:rPr>
        <w:t>, vol. 7, pp. 41525–41550, 2019, doi: 10.1109/ACCESS.2019.2895334.</w:t>
      </w:r>
    </w:p>
    <w:p w14:paraId="64FB78CB"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[5]</w:t>
      </w:r>
      <w:r w:rsidRPr="00C523CB">
        <w:rPr>
          <w:noProof/>
          <w:sz w:val="16"/>
          <w:szCs w:val="22"/>
        </w:rPr>
        <w:tab/>
        <w:t xml:space="preserve">K. Sivaraman, R. M. V. Krishnan, B. Sundarraj, and S. Sri Gowthem, “Network failure detection and diagnosis by analyzing syslog and SNS data: Applying big data analysis to network operations,” </w:t>
      </w:r>
      <w:r w:rsidRPr="00C523CB">
        <w:rPr>
          <w:i/>
          <w:iCs/>
          <w:noProof/>
          <w:sz w:val="16"/>
          <w:szCs w:val="22"/>
        </w:rPr>
        <w:t>Int. J. Innov. Technol. Explor. Eng.</w:t>
      </w:r>
      <w:r w:rsidRPr="00C523CB">
        <w:rPr>
          <w:noProof/>
          <w:sz w:val="16"/>
          <w:szCs w:val="22"/>
        </w:rPr>
        <w:t>, vol. 8, no. 9 Special Issue 3, pp. 883–887, 2019, doi: 10.35940/ijitee.I3187.0789S319.</w:t>
      </w:r>
    </w:p>
    <w:p w14:paraId="1E55F2F1"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[6]</w:t>
      </w:r>
      <w:r w:rsidRPr="00C523CB">
        <w:rPr>
          <w:noProof/>
          <w:sz w:val="16"/>
          <w:szCs w:val="22"/>
        </w:rPr>
        <w:tab/>
        <w:t xml:space="preserve">A. D. Dwivedi, G. Srivastava, S. Dhar, and R. Singh, “A decentralized privacy-preserving healthcare blockchain for IoT,” </w:t>
      </w:r>
      <w:r w:rsidRPr="00C523CB">
        <w:rPr>
          <w:i/>
          <w:iCs/>
          <w:noProof/>
          <w:sz w:val="16"/>
          <w:szCs w:val="22"/>
        </w:rPr>
        <w:t>Sensors (Switzerland)</w:t>
      </w:r>
      <w:r w:rsidRPr="00C523CB">
        <w:rPr>
          <w:noProof/>
          <w:sz w:val="16"/>
          <w:szCs w:val="22"/>
        </w:rPr>
        <w:t>, vol. 19, no. 2, pp. 1–17, 2019, doi: 10.3390/s19020326.</w:t>
      </w:r>
    </w:p>
    <w:p w14:paraId="6255D04E"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[7]</w:t>
      </w:r>
      <w:r w:rsidRPr="00C523CB">
        <w:rPr>
          <w:noProof/>
          <w:sz w:val="16"/>
          <w:szCs w:val="22"/>
        </w:rPr>
        <w:tab/>
        <w:t xml:space="preserve">F. Al-Turjman, H. Zahmatkesh, and L. Mostarda, “Quantifying uncertainty in internet of medical things and big-data services using intelligence and deep learning,” </w:t>
      </w:r>
      <w:r w:rsidRPr="00C523CB">
        <w:rPr>
          <w:i/>
          <w:iCs/>
          <w:noProof/>
          <w:sz w:val="16"/>
          <w:szCs w:val="22"/>
        </w:rPr>
        <w:t>IEEE Access</w:t>
      </w:r>
      <w:r w:rsidRPr="00C523CB">
        <w:rPr>
          <w:noProof/>
          <w:sz w:val="16"/>
          <w:szCs w:val="22"/>
        </w:rPr>
        <w:t>, vol. 7, pp. 115749–115759, 2019, doi: 10.1109/ACCESS.2019.2931637.</w:t>
      </w:r>
    </w:p>
    <w:p w14:paraId="1125287D"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[8]</w:t>
      </w:r>
      <w:r w:rsidRPr="00C523CB">
        <w:rPr>
          <w:noProof/>
          <w:sz w:val="16"/>
          <w:szCs w:val="22"/>
        </w:rPr>
        <w:tab/>
        <w:t xml:space="preserve">S. Kumar and M. Singh, “Big data analytics for healthcare industry: Impact, applications, and tools,” </w:t>
      </w:r>
      <w:r w:rsidRPr="00C523CB">
        <w:rPr>
          <w:i/>
          <w:iCs/>
          <w:noProof/>
          <w:sz w:val="16"/>
          <w:szCs w:val="22"/>
        </w:rPr>
        <w:t>Big Data Min. Anal.</w:t>
      </w:r>
      <w:r w:rsidRPr="00C523CB">
        <w:rPr>
          <w:noProof/>
          <w:sz w:val="16"/>
          <w:szCs w:val="22"/>
        </w:rPr>
        <w:t>, vol. 2, no. 1, pp. 48–57, 2019, doi: 10.26599/BDMA.2018.9020031.</w:t>
      </w:r>
    </w:p>
    <w:p w14:paraId="598F0951"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[9]</w:t>
      </w:r>
      <w:r w:rsidRPr="00C523CB">
        <w:rPr>
          <w:noProof/>
          <w:sz w:val="16"/>
          <w:szCs w:val="22"/>
        </w:rPr>
        <w:tab/>
        <w:t xml:space="preserve">L. M. Ang, K. P. Seng, G. K. Ijemaru, and A. M. Zungeru, “Deployment of IoV for Smart Cities: Applications, Architecture, and Challenges,” </w:t>
      </w:r>
      <w:r w:rsidRPr="00C523CB">
        <w:rPr>
          <w:i/>
          <w:iCs/>
          <w:noProof/>
          <w:sz w:val="16"/>
          <w:szCs w:val="22"/>
        </w:rPr>
        <w:t>IEEE Access</w:t>
      </w:r>
      <w:r w:rsidRPr="00C523CB">
        <w:rPr>
          <w:noProof/>
          <w:sz w:val="16"/>
          <w:szCs w:val="22"/>
        </w:rPr>
        <w:t>, vol. 7, pp. 6473–6492, 2019, doi: 10.1109/ACCESS.2018.2887076.</w:t>
      </w:r>
    </w:p>
    <w:p w14:paraId="5F655452"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[10]</w:t>
      </w:r>
      <w:r w:rsidRPr="00C523CB">
        <w:rPr>
          <w:noProof/>
          <w:sz w:val="16"/>
          <w:szCs w:val="22"/>
        </w:rPr>
        <w:tab/>
        <w:t xml:space="preserve">B. P. L. Lau </w:t>
      </w:r>
      <w:r w:rsidRPr="00C523CB">
        <w:rPr>
          <w:i/>
          <w:iCs/>
          <w:noProof/>
          <w:sz w:val="16"/>
          <w:szCs w:val="22"/>
        </w:rPr>
        <w:t>et al.</w:t>
      </w:r>
      <w:r w:rsidRPr="00C523CB">
        <w:rPr>
          <w:noProof/>
          <w:sz w:val="16"/>
          <w:szCs w:val="22"/>
        </w:rPr>
        <w:t xml:space="preserve">, “A survey of data fusion in smart city applications,” </w:t>
      </w:r>
      <w:r w:rsidRPr="00C523CB">
        <w:rPr>
          <w:i/>
          <w:iCs/>
          <w:noProof/>
          <w:sz w:val="16"/>
          <w:szCs w:val="22"/>
        </w:rPr>
        <w:t>Inf. Fusion</w:t>
      </w:r>
      <w:r w:rsidRPr="00C523CB">
        <w:rPr>
          <w:noProof/>
          <w:sz w:val="16"/>
          <w:szCs w:val="22"/>
        </w:rPr>
        <w:t>, vol. 52, no. January, pp. 357–374, 2019, doi: 10.1016/j.inffus.2019.05.004.</w:t>
      </w:r>
    </w:p>
    <w:p w14:paraId="4D60BD35"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[11]</w:t>
      </w:r>
      <w:r w:rsidRPr="00C523CB">
        <w:rPr>
          <w:noProof/>
          <w:sz w:val="16"/>
          <w:szCs w:val="22"/>
        </w:rPr>
        <w:tab/>
        <w:t xml:space="preserve">Y. Wu </w:t>
      </w:r>
      <w:r w:rsidRPr="00C523CB">
        <w:rPr>
          <w:i/>
          <w:iCs/>
          <w:noProof/>
          <w:sz w:val="16"/>
          <w:szCs w:val="22"/>
        </w:rPr>
        <w:t>et al.</w:t>
      </w:r>
      <w:r w:rsidRPr="00C523CB">
        <w:rPr>
          <w:noProof/>
          <w:sz w:val="16"/>
          <w:szCs w:val="22"/>
        </w:rPr>
        <w:t xml:space="preserve">, “Large scale incremental learning,” </w:t>
      </w:r>
      <w:r w:rsidRPr="00C523CB">
        <w:rPr>
          <w:i/>
          <w:iCs/>
          <w:noProof/>
          <w:sz w:val="16"/>
          <w:szCs w:val="22"/>
        </w:rPr>
        <w:t>Proc. IEEE Comput. Soc. Conf. Comput. Vis. Pattern Recognit.</w:t>
      </w:r>
      <w:r w:rsidRPr="00C523CB">
        <w:rPr>
          <w:noProof/>
          <w:sz w:val="16"/>
          <w:szCs w:val="22"/>
        </w:rPr>
        <w:t>, vol. 2019-June, pp. 374–382, 2019, doi: 10.1109/CVPR.2019.00046.</w:t>
      </w:r>
    </w:p>
    <w:p w14:paraId="134777EB"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[12]</w:t>
      </w:r>
      <w:r w:rsidRPr="00C523CB">
        <w:rPr>
          <w:noProof/>
          <w:sz w:val="16"/>
          <w:szCs w:val="22"/>
        </w:rPr>
        <w:tab/>
        <w:t xml:space="preserve">A. Mosavi, S. Shamshirband, E. Salwana, K. wing Chau, and J. H. M. Tah, “Prediction of multi-inputs bubble column reactor using a novel hybrid model of computational fluid dynamics and machine learning,” </w:t>
      </w:r>
      <w:r w:rsidRPr="00C523CB">
        <w:rPr>
          <w:i/>
          <w:iCs/>
          <w:noProof/>
          <w:sz w:val="16"/>
          <w:szCs w:val="22"/>
        </w:rPr>
        <w:t>Eng. Appl. Comput. Fluid Mech.</w:t>
      </w:r>
      <w:r w:rsidRPr="00C523CB">
        <w:rPr>
          <w:noProof/>
          <w:sz w:val="16"/>
          <w:szCs w:val="22"/>
        </w:rPr>
        <w:t>, vol. 13, no. 1, pp. 482–492, 2019, doi: 10.1080/19942060.2019.1613448.</w:t>
      </w:r>
    </w:p>
    <w:p w14:paraId="37D027CC" w14:textId="77777777" w:rsidR="006C5A95" w:rsidRPr="00C523CB" w:rsidRDefault="006C5A95" w:rsidP="006C5A95">
      <w:pPr>
        <w:widowControl w:val="0"/>
        <w:autoSpaceDE w:val="0"/>
        <w:autoSpaceDN w:val="0"/>
        <w:adjustRightInd w:val="0"/>
        <w:ind w:left="426" w:hanging="426"/>
        <w:jc w:val="both"/>
        <w:rPr>
          <w:noProof/>
          <w:spacing w:val="-2"/>
          <w:sz w:val="16"/>
          <w:szCs w:val="22"/>
        </w:rPr>
      </w:pPr>
      <w:r w:rsidRPr="00C523CB">
        <w:rPr>
          <w:noProof/>
          <w:sz w:val="16"/>
          <w:szCs w:val="22"/>
        </w:rPr>
        <w:t>[13]</w:t>
      </w:r>
      <w:r w:rsidRPr="00C523CB">
        <w:rPr>
          <w:noProof/>
          <w:sz w:val="16"/>
          <w:szCs w:val="22"/>
        </w:rPr>
        <w:tab/>
      </w:r>
      <w:r w:rsidRPr="00C523CB">
        <w:rPr>
          <w:noProof/>
          <w:spacing w:val="-2"/>
          <w:sz w:val="16"/>
          <w:szCs w:val="22"/>
        </w:rPr>
        <w:t xml:space="preserve">V. Palanisamy and R. Thirunavukarasu, “Implications of big data analytics in developing healthcare frameworks – A review,” </w:t>
      </w:r>
      <w:r w:rsidRPr="00C523CB">
        <w:rPr>
          <w:i/>
          <w:iCs/>
          <w:noProof/>
          <w:spacing w:val="-2"/>
          <w:sz w:val="16"/>
          <w:szCs w:val="22"/>
        </w:rPr>
        <w:t>J. King Saud Univ. - Comput. Inf. Sci.</w:t>
      </w:r>
      <w:r w:rsidRPr="00C523CB">
        <w:rPr>
          <w:noProof/>
          <w:spacing w:val="-2"/>
          <w:sz w:val="16"/>
          <w:szCs w:val="22"/>
        </w:rPr>
        <w:t>, vol. 31, no. 4, pp. 415–425, 2019, doi: 10.1016/j.jksuci.2017.12.007.</w:t>
      </w:r>
    </w:p>
    <w:p w14:paraId="47938424"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[14]</w:t>
      </w:r>
      <w:r w:rsidRPr="00C523CB">
        <w:rPr>
          <w:noProof/>
          <w:sz w:val="16"/>
          <w:szCs w:val="22"/>
        </w:rPr>
        <w:tab/>
        <w:t xml:space="preserve">J. Sadowski, “When data is capital: Datafication, accumulation, and extraction,” </w:t>
      </w:r>
      <w:r w:rsidRPr="00C523CB">
        <w:rPr>
          <w:i/>
          <w:iCs/>
          <w:noProof/>
          <w:sz w:val="16"/>
          <w:szCs w:val="22"/>
        </w:rPr>
        <w:t>Big Data Soc.</w:t>
      </w:r>
      <w:r w:rsidRPr="00C523CB">
        <w:rPr>
          <w:noProof/>
          <w:sz w:val="16"/>
          <w:szCs w:val="22"/>
        </w:rPr>
        <w:t>, vol. 6, no. 1, pp. 1–12, 2019, doi: 10.1177/2053951718820549.</w:t>
      </w:r>
    </w:p>
    <w:p w14:paraId="01413A6A"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[15]</w:t>
      </w:r>
      <w:r w:rsidRPr="00C523CB">
        <w:rPr>
          <w:noProof/>
          <w:sz w:val="16"/>
          <w:szCs w:val="22"/>
        </w:rPr>
        <w:tab/>
        <w:t xml:space="preserve">J. R. Saura, B. R. Herraez, and A. Reyes-Menendez, “Comparing a traditional approach for financial brand communication analysis with a big data analytics technique,” </w:t>
      </w:r>
      <w:r w:rsidRPr="00C523CB">
        <w:rPr>
          <w:i/>
          <w:iCs/>
          <w:noProof/>
          <w:sz w:val="16"/>
          <w:szCs w:val="22"/>
        </w:rPr>
        <w:t>IEEE Access</w:t>
      </w:r>
      <w:r w:rsidRPr="00C523CB">
        <w:rPr>
          <w:noProof/>
          <w:sz w:val="16"/>
          <w:szCs w:val="22"/>
        </w:rPr>
        <w:t>, vol. 7, pp. 37100–37108, 2019, doi: 10.1109/ACCESS.2019.2905301.</w:t>
      </w:r>
    </w:p>
    <w:p w14:paraId="3E6AA61C"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[16]</w:t>
      </w:r>
      <w:r w:rsidRPr="00C523CB">
        <w:rPr>
          <w:noProof/>
          <w:sz w:val="16"/>
          <w:szCs w:val="22"/>
        </w:rPr>
        <w:tab/>
        <w:t xml:space="preserve">D. Nallaperuma </w:t>
      </w:r>
      <w:r w:rsidRPr="00C523CB">
        <w:rPr>
          <w:i/>
          <w:iCs/>
          <w:noProof/>
          <w:sz w:val="16"/>
          <w:szCs w:val="22"/>
        </w:rPr>
        <w:t>et al.</w:t>
      </w:r>
      <w:r w:rsidRPr="00C523CB">
        <w:rPr>
          <w:noProof/>
          <w:sz w:val="16"/>
          <w:szCs w:val="22"/>
        </w:rPr>
        <w:t xml:space="preserve">, “Online Incremental Machine Learning Platform for Big Data-Driven Smart Traffic Management,” </w:t>
      </w:r>
      <w:r w:rsidRPr="00C523CB">
        <w:rPr>
          <w:i/>
          <w:iCs/>
          <w:noProof/>
          <w:sz w:val="16"/>
          <w:szCs w:val="22"/>
        </w:rPr>
        <w:t>IEEE Trans. Intell. Transp. Syst.</w:t>
      </w:r>
      <w:r w:rsidRPr="00C523CB">
        <w:rPr>
          <w:noProof/>
          <w:sz w:val="16"/>
          <w:szCs w:val="22"/>
        </w:rPr>
        <w:t>, vol. 20, no. 12, pp. 4679–4690, 2019, doi: 10.1109/TITS.2019.2924883.</w:t>
      </w:r>
    </w:p>
    <w:p w14:paraId="1C736375"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[17]</w:t>
      </w:r>
      <w:r w:rsidRPr="00C523CB">
        <w:rPr>
          <w:noProof/>
          <w:sz w:val="16"/>
          <w:szCs w:val="22"/>
        </w:rPr>
        <w:tab/>
        <w:t xml:space="preserve">S. Schulz, M. Becker, M. R. Groseclose, S. Schadt, and C. Hopf, “Advanced MALDI mass spectrometry imaging in pharmaceutical research and drug development,” </w:t>
      </w:r>
      <w:r w:rsidRPr="00C523CB">
        <w:rPr>
          <w:i/>
          <w:iCs/>
          <w:noProof/>
          <w:sz w:val="16"/>
          <w:szCs w:val="22"/>
        </w:rPr>
        <w:t>Curr. Opin. Biotechnol.</w:t>
      </w:r>
      <w:r w:rsidRPr="00C523CB">
        <w:rPr>
          <w:noProof/>
          <w:sz w:val="16"/>
          <w:szCs w:val="22"/>
        </w:rPr>
        <w:t>, vol. 55, pp. 51–59, 2019, doi: 10.1016/j.copbio.2018.08.003.</w:t>
      </w:r>
    </w:p>
    <w:p w14:paraId="11BB31EF"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[18]</w:t>
      </w:r>
      <w:r w:rsidRPr="00C523CB">
        <w:rPr>
          <w:noProof/>
          <w:sz w:val="16"/>
          <w:szCs w:val="22"/>
        </w:rPr>
        <w:tab/>
        <w:t xml:space="preserve">C. Shang and F. You, “Data Analytics and Machine Learning for Smart Process Manufacturing: Recent Advances and Perspectives in the Big Data Era,” </w:t>
      </w:r>
      <w:r w:rsidRPr="00C523CB">
        <w:rPr>
          <w:i/>
          <w:iCs/>
          <w:noProof/>
          <w:sz w:val="16"/>
          <w:szCs w:val="22"/>
        </w:rPr>
        <w:t>Engineering</w:t>
      </w:r>
      <w:r w:rsidRPr="00C523CB">
        <w:rPr>
          <w:noProof/>
          <w:sz w:val="16"/>
          <w:szCs w:val="22"/>
        </w:rPr>
        <w:t>, vol. 5, no. 6, pp. 1010–1016, 2019, doi: 10.1016/j.eng.2019.01.019.</w:t>
      </w:r>
    </w:p>
    <w:p w14:paraId="55775AAA"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[19]</w:t>
      </w:r>
      <w:r w:rsidRPr="00C523CB">
        <w:rPr>
          <w:noProof/>
          <w:sz w:val="16"/>
          <w:szCs w:val="22"/>
        </w:rPr>
        <w:tab/>
        <w:t xml:space="preserve">Y. Yu, M. Li, L. Liu, Y. Li, and J. Wang, “Clinical big data and deep learning: Applications, challenges, and future outlooks,” </w:t>
      </w:r>
      <w:r w:rsidRPr="00C523CB">
        <w:rPr>
          <w:i/>
          <w:iCs/>
          <w:noProof/>
          <w:sz w:val="16"/>
          <w:szCs w:val="22"/>
        </w:rPr>
        <w:t>Big Data Min. Anal.</w:t>
      </w:r>
      <w:r w:rsidRPr="00C523CB">
        <w:rPr>
          <w:noProof/>
          <w:sz w:val="16"/>
          <w:szCs w:val="22"/>
        </w:rPr>
        <w:t>, vol. 2, no. 4, pp. 288–305, 2019, doi: 10.26599/BDMA.2019.9020007.</w:t>
      </w:r>
    </w:p>
    <w:p w14:paraId="5EDE187A"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[20]</w:t>
      </w:r>
      <w:r w:rsidRPr="00C523CB">
        <w:rPr>
          <w:noProof/>
          <w:sz w:val="16"/>
          <w:szCs w:val="22"/>
        </w:rPr>
        <w:tab/>
        <w:t xml:space="preserve">M. Huang, W. Liu, T. Wang, H. Song, X. Li, and A. Liu, “A queuing delay utilization scheme for on-path service aggregation in services-oriented computing networks,” </w:t>
      </w:r>
      <w:r w:rsidRPr="00C523CB">
        <w:rPr>
          <w:i/>
          <w:iCs/>
          <w:noProof/>
          <w:sz w:val="16"/>
          <w:szCs w:val="22"/>
        </w:rPr>
        <w:t>IEEE Access</w:t>
      </w:r>
      <w:r w:rsidRPr="00C523CB">
        <w:rPr>
          <w:noProof/>
          <w:sz w:val="16"/>
          <w:szCs w:val="22"/>
        </w:rPr>
        <w:t>, vol. 7, pp. 23816–23833, 2019, doi: 10.1109/ACCESS.2019.2899402.</w:t>
      </w:r>
    </w:p>
    <w:p w14:paraId="095DEFAB"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[21]</w:t>
      </w:r>
      <w:r w:rsidRPr="00C523CB">
        <w:rPr>
          <w:noProof/>
          <w:sz w:val="16"/>
          <w:szCs w:val="22"/>
        </w:rPr>
        <w:tab/>
        <w:t xml:space="preserve">G. Xu, Y. Shi, X. Sun, and W. Shen, “Internet of things in marine environment monitoring: A review,” </w:t>
      </w:r>
      <w:r w:rsidRPr="00C523CB">
        <w:rPr>
          <w:i/>
          <w:iCs/>
          <w:noProof/>
          <w:sz w:val="16"/>
          <w:szCs w:val="22"/>
        </w:rPr>
        <w:t>Sensors (Switzerland)</w:t>
      </w:r>
      <w:r w:rsidRPr="00C523CB">
        <w:rPr>
          <w:noProof/>
          <w:sz w:val="16"/>
          <w:szCs w:val="22"/>
        </w:rPr>
        <w:t>, vol. 19, no. 7, pp. 1–21, 2019, doi: 10.3390/s19071711.</w:t>
      </w:r>
    </w:p>
    <w:p w14:paraId="73C02372"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[22]</w:t>
      </w:r>
      <w:r w:rsidRPr="00C523CB">
        <w:rPr>
          <w:noProof/>
          <w:sz w:val="16"/>
          <w:szCs w:val="22"/>
        </w:rPr>
        <w:tab/>
        <w:t xml:space="preserve">M. Aqib, R. Mehmood, A. Alzahrani, I. Katib, A. Albeshri, and S. M. Altowaijri, </w:t>
      </w:r>
      <w:r w:rsidRPr="00C523CB">
        <w:rPr>
          <w:i/>
          <w:iCs/>
          <w:noProof/>
          <w:sz w:val="16"/>
          <w:szCs w:val="22"/>
        </w:rPr>
        <w:t>Smarter traffic prediction using big data, in-memory computing, deep learning and gpus</w:t>
      </w:r>
      <w:r w:rsidRPr="00C523CB">
        <w:rPr>
          <w:noProof/>
          <w:sz w:val="16"/>
          <w:szCs w:val="22"/>
        </w:rPr>
        <w:t>, vol. 19, no. 9. 2019.</w:t>
      </w:r>
    </w:p>
    <w:p w14:paraId="2D1CD2B0"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[23]</w:t>
      </w:r>
      <w:r w:rsidRPr="00C523CB">
        <w:rPr>
          <w:noProof/>
          <w:sz w:val="16"/>
          <w:szCs w:val="22"/>
        </w:rPr>
        <w:tab/>
        <w:t xml:space="preserve">S. Leonelli and N. Tempini, </w:t>
      </w:r>
      <w:r w:rsidRPr="00C523CB">
        <w:rPr>
          <w:i/>
          <w:iCs/>
          <w:noProof/>
          <w:sz w:val="16"/>
          <w:szCs w:val="22"/>
        </w:rPr>
        <w:t>Data Journeys in the Sciences</w:t>
      </w:r>
      <w:r w:rsidRPr="00C523CB">
        <w:rPr>
          <w:noProof/>
          <w:sz w:val="16"/>
          <w:szCs w:val="22"/>
        </w:rPr>
        <w:t>. 2020.</w:t>
      </w:r>
    </w:p>
    <w:p w14:paraId="45CB7098" w14:textId="77777777" w:rsidR="006C5A95" w:rsidRPr="00C523CB" w:rsidRDefault="006C5A95" w:rsidP="006C5A95">
      <w:pPr>
        <w:widowControl w:val="0"/>
        <w:autoSpaceDE w:val="0"/>
        <w:autoSpaceDN w:val="0"/>
        <w:adjustRightInd w:val="0"/>
        <w:ind w:left="426" w:hanging="426"/>
        <w:jc w:val="both"/>
        <w:rPr>
          <w:noProof/>
          <w:sz w:val="16"/>
          <w:szCs w:val="22"/>
        </w:rPr>
      </w:pPr>
      <w:r w:rsidRPr="00C523CB">
        <w:rPr>
          <w:noProof/>
          <w:sz w:val="16"/>
          <w:szCs w:val="22"/>
        </w:rPr>
        <w:t>[24]</w:t>
      </w:r>
      <w:r w:rsidRPr="00C523CB">
        <w:rPr>
          <w:noProof/>
          <w:sz w:val="16"/>
          <w:szCs w:val="22"/>
        </w:rPr>
        <w:tab/>
        <w:t xml:space="preserve">N. Stylos and J. Zwiegelaar, </w:t>
      </w:r>
      <w:r w:rsidRPr="00C523CB">
        <w:rPr>
          <w:i/>
          <w:iCs/>
          <w:noProof/>
          <w:sz w:val="16"/>
          <w:szCs w:val="22"/>
        </w:rPr>
        <w:t>Big Data as a Game Changer: How Does It Shape Business Intelligence Within a Tourism and Hospitality Industry Context?</w:t>
      </w:r>
      <w:r w:rsidRPr="00C523CB">
        <w:rPr>
          <w:noProof/>
          <w:sz w:val="16"/>
          <w:szCs w:val="22"/>
        </w:rPr>
        <w:t xml:space="preserve"> 2019.</w:t>
      </w:r>
    </w:p>
    <w:p w14:paraId="28AB5C13" w14:textId="77777777" w:rsidR="006C5A95" w:rsidRPr="003D6B19" w:rsidRDefault="006C5A95" w:rsidP="006C5A95">
      <w:pPr>
        <w:widowControl w:val="0"/>
        <w:autoSpaceDE w:val="0"/>
        <w:autoSpaceDN w:val="0"/>
        <w:adjustRightInd w:val="0"/>
        <w:ind w:left="426" w:hanging="426"/>
        <w:jc w:val="both"/>
        <w:rPr>
          <w:color w:val="000000"/>
          <w:sz w:val="18"/>
          <w:szCs w:val="18"/>
        </w:rPr>
      </w:pPr>
      <w:r w:rsidRPr="00C523CB">
        <w:rPr>
          <w:noProof/>
          <w:sz w:val="16"/>
          <w:szCs w:val="22"/>
        </w:rPr>
        <w:t>[25]</w:t>
      </w:r>
      <w:r w:rsidRPr="00C523CB">
        <w:rPr>
          <w:noProof/>
          <w:sz w:val="16"/>
          <w:szCs w:val="22"/>
        </w:rPr>
        <w:tab/>
        <w:t xml:space="preserve">Q. Song, H. Ge, J. Caverlee, and X. Hu, “Tensor completion algorithms in big data analytics,” </w:t>
      </w:r>
      <w:r w:rsidRPr="00C523CB">
        <w:rPr>
          <w:i/>
          <w:iCs/>
          <w:noProof/>
          <w:sz w:val="16"/>
          <w:szCs w:val="22"/>
        </w:rPr>
        <w:t>arXiv</w:t>
      </w:r>
      <w:r w:rsidRPr="00C523CB">
        <w:rPr>
          <w:noProof/>
          <w:sz w:val="16"/>
          <w:szCs w:val="22"/>
        </w:rPr>
        <w:t>, vol. 13, no. 1, 2017.</w:t>
      </w:r>
      <w:r w:rsidRPr="00C523CB">
        <w:rPr>
          <w:color w:val="000000"/>
          <w:sz w:val="16"/>
          <w:szCs w:val="16"/>
        </w:rPr>
        <w:fldChar w:fldCharType="end"/>
      </w:r>
    </w:p>
    <w:p w14:paraId="50F80B1C" w14:textId="77777777" w:rsidR="00F5080C" w:rsidRDefault="00F5080C"/>
    <w:p w14:paraId="56CF1294" w14:textId="77777777" w:rsidR="006C5A95" w:rsidRPr="006C5A95" w:rsidRDefault="006C5A95" w:rsidP="006C5A95">
      <w:pPr>
        <w:spacing w:line="276" w:lineRule="auto"/>
        <w:jc w:val="both"/>
        <w:rPr>
          <w:b/>
          <w:bCs/>
        </w:rPr>
      </w:pPr>
      <w:r w:rsidRPr="006C5A95">
        <w:rPr>
          <w:b/>
          <w:bCs/>
        </w:rPr>
        <w:t xml:space="preserve">BIOGRAPHIES OF AUTHORS (10 PT) </w:t>
      </w:r>
    </w:p>
    <w:p w14:paraId="610896B3" w14:textId="77777777" w:rsidR="006C5A95" w:rsidRDefault="006C5A95" w:rsidP="006C5A95">
      <w:pPr>
        <w:spacing w:line="276" w:lineRule="auto"/>
        <w:jc w:val="both"/>
      </w:pPr>
    </w:p>
    <w:p w14:paraId="218A3030" w14:textId="77777777" w:rsidR="006C5A95" w:rsidRDefault="006C5A95" w:rsidP="006C5A95">
      <w:pPr>
        <w:spacing w:line="276" w:lineRule="auto"/>
      </w:pPr>
      <w:r>
        <w:t>The recommended number of authors is at least 2. One of them as a corresponding author.</w:t>
      </w:r>
    </w:p>
    <w:p w14:paraId="4D676F23" w14:textId="77777777" w:rsidR="00F47A99" w:rsidRDefault="006C5A95" w:rsidP="006C5A95">
      <w:pPr>
        <w:spacing w:line="276" w:lineRule="auto"/>
        <w:jc w:val="both"/>
      </w:pPr>
      <w:r>
        <w:t>Please attach clear photo (3x4 cm) and vita. Example of biographies of authors:</w:t>
      </w:r>
    </w:p>
    <w:p w14:paraId="141F796B" w14:textId="77777777" w:rsidR="00F47A99" w:rsidRDefault="00F47A99" w:rsidP="008051B7">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761"/>
      </w:tblGrid>
      <w:tr w:rsidR="00021FF5" w:rsidRPr="003D6B19" w14:paraId="77013AE2" w14:textId="77777777" w:rsidTr="003C5EF2">
        <w:trPr>
          <w:trHeight w:val="1547"/>
        </w:trPr>
        <w:tc>
          <w:tcPr>
            <w:tcW w:w="1079" w:type="pct"/>
          </w:tcPr>
          <w:p w14:paraId="1681C056" w14:textId="77777777" w:rsidR="006C5A95" w:rsidRPr="003D6B19" w:rsidRDefault="002769DF" w:rsidP="003C5EF2">
            <w:pPr>
              <w:jc w:val="center"/>
              <w:rPr>
                <w:color w:val="000000"/>
                <w:highlight w:val="yellow"/>
                <w:lang w:val="pt-BR"/>
              </w:rPr>
            </w:pPr>
            <w:r>
              <w:rPr>
                <w:noProof/>
                <w:color w:val="000000"/>
                <w14:ligatures w14:val="standardContextual"/>
              </w:rPr>
              <w:drawing>
                <wp:inline distT="0" distB="0" distL="0" distR="0" wp14:anchorId="3DACDB53" wp14:editId="2B66CA88">
                  <wp:extent cx="1143457" cy="1575170"/>
                  <wp:effectExtent l="0" t="0" r="0" b="0"/>
                  <wp:docPr id="916311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11774" name="Picture 916311774"/>
                          <pic:cNvPicPr/>
                        </pic:nvPicPr>
                        <pic:blipFill>
                          <a:blip r:embed="rId15">
                            <a:extLst>
                              <a:ext uri="{28A0092B-C50C-407E-A947-70E740481C1C}">
                                <a14:useLocalDpi xmlns:a14="http://schemas.microsoft.com/office/drawing/2010/main" val="0"/>
                              </a:ext>
                            </a:extLst>
                          </a:blip>
                          <a:stretch>
                            <a:fillRect/>
                          </a:stretch>
                        </pic:blipFill>
                        <pic:spPr>
                          <a:xfrm>
                            <a:off x="0" y="0"/>
                            <a:ext cx="1152591" cy="1587752"/>
                          </a:xfrm>
                          <a:prstGeom prst="rect">
                            <a:avLst/>
                          </a:prstGeom>
                        </pic:spPr>
                      </pic:pic>
                    </a:graphicData>
                  </a:graphic>
                </wp:inline>
              </w:drawing>
            </w:r>
          </w:p>
        </w:tc>
        <w:tc>
          <w:tcPr>
            <w:tcW w:w="3921" w:type="pct"/>
          </w:tcPr>
          <w:p w14:paraId="0ABC5B24" w14:textId="77777777" w:rsidR="006C5A95" w:rsidRPr="003D6B19" w:rsidRDefault="002769DF" w:rsidP="003C5EF2">
            <w:pPr>
              <w:jc w:val="both"/>
              <w:rPr>
                <w:color w:val="000000"/>
                <w:highlight w:val="yellow"/>
                <w:lang w:val="pt-BR"/>
              </w:rPr>
            </w:pPr>
            <w:r w:rsidRPr="002769DF">
              <w:rPr>
                <w:b/>
                <w:bCs/>
                <w:color w:val="000000"/>
                <w:sz w:val="18"/>
                <w:szCs w:val="18"/>
              </w:rPr>
              <w:t xml:space="preserve">Danang Budi </w:t>
            </w:r>
            <w:proofErr w:type="spellStart"/>
            <w:r w:rsidRPr="002769DF">
              <w:rPr>
                <w:b/>
                <w:bCs/>
                <w:color w:val="000000"/>
                <w:sz w:val="18"/>
                <w:szCs w:val="18"/>
              </w:rPr>
              <w:t>Susetyo</w:t>
            </w:r>
            <w:proofErr w:type="spellEnd"/>
            <w:r w:rsidR="006C5A95" w:rsidRPr="0093175D">
              <w:rPr>
                <w:b/>
                <w:bCs/>
                <w:color w:val="000000"/>
                <w:sz w:val="18"/>
                <w:szCs w:val="18"/>
              </w:rPr>
              <w:t xml:space="preserve"> </w:t>
            </w:r>
            <w:r w:rsidR="006C5A95">
              <w:rPr>
                <w:noProof/>
                <w:color w:val="000000"/>
                <w:sz w:val="18"/>
                <w:szCs w:val="18"/>
              </w:rPr>
              <w:drawing>
                <wp:inline distT="0" distB="0" distL="0" distR="0" wp14:anchorId="217492E8" wp14:editId="10349D69">
                  <wp:extent cx="114935" cy="114935"/>
                  <wp:effectExtent l="0" t="0" r="0" b="0"/>
                  <wp:docPr id="23" name="Picture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4D87716D" wp14:editId="498073B3">
                  <wp:extent cx="114935" cy="114935"/>
                  <wp:effectExtent l="0" t="0" r="0" b="0"/>
                  <wp:docPr id="24"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7878EF35" wp14:editId="527DBB3D">
                  <wp:extent cx="114935" cy="114935"/>
                  <wp:effectExtent l="0" t="0" r="0" b="0"/>
                  <wp:docPr id="25" name="Graphic 25">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5" name="Graphic 25">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4935" cy="114935"/>
                          </a:xfrm>
                          <a:prstGeom prst="rect">
                            <a:avLst/>
                          </a:prstGeom>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3C84FE15" wp14:editId="7E5CCF0F">
                  <wp:extent cx="114935" cy="114935"/>
                  <wp:effectExtent l="0" t="0" r="0" b="0"/>
                  <wp:docPr id="26" name="Picture 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Pr="002769DF">
              <w:rPr>
                <w:color w:val="000000"/>
                <w:sz w:val="18"/>
                <w:szCs w:val="18"/>
              </w:rPr>
              <w:t xml:space="preserve">is a researcher at the National Research and Innovation Agency (BRIN) in Indonesia. He holds a Master of Engineering degree from the Geomatics Engineering Program, Universitas Gadjah </w:t>
            </w:r>
            <w:proofErr w:type="spellStart"/>
            <w:r w:rsidRPr="002769DF">
              <w:rPr>
                <w:color w:val="000000"/>
                <w:sz w:val="18"/>
                <w:szCs w:val="18"/>
              </w:rPr>
              <w:t>Mada</w:t>
            </w:r>
            <w:proofErr w:type="spellEnd"/>
            <w:r w:rsidRPr="002769DF">
              <w:rPr>
                <w:color w:val="000000"/>
                <w:sz w:val="18"/>
                <w:szCs w:val="18"/>
              </w:rPr>
              <w:t xml:space="preserve">, Indonesia. His research interests are related to the processing and applications of photogrammetric and remote sensing data, particularly for mapping of urban area. Currently, he is pursuing a Doctoral study at </w:t>
            </w:r>
            <w:proofErr w:type="spellStart"/>
            <w:r w:rsidRPr="002769DF">
              <w:rPr>
                <w:color w:val="000000"/>
                <w:sz w:val="18"/>
                <w:szCs w:val="18"/>
              </w:rPr>
              <w:t>Yildiz</w:t>
            </w:r>
            <w:proofErr w:type="spellEnd"/>
            <w:r w:rsidRPr="002769DF">
              <w:rPr>
                <w:color w:val="000000"/>
                <w:sz w:val="18"/>
                <w:szCs w:val="18"/>
              </w:rPr>
              <w:t xml:space="preserve"> Technical University in Turkey, specifically in the </w:t>
            </w:r>
            <w:proofErr w:type="spellStart"/>
            <w:r w:rsidRPr="002769DF">
              <w:rPr>
                <w:color w:val="000000"/>
                <w:sz w:val="18"/>
                <w:szCs w:val="18"/>
              </w:rPr>
              <w:t>Departement</w:t>
            </w:r>
            <w:proofErr w:type="spellEnd"/>
            <w:r w:rsidRPr="002769DF">
              <w:rPr>
                <w:color w:val="000000"/>
                <w:sz w:val="18"/>
                <w:szCs w:val="18"/>
              </w:rPr>
              <w:t xml:space="preserve"> of Geomatic Engineering. He can be contacted at email: danang.budi.susetyo@brin.go.id</w:t>
            </w:r>
            <w:r w:rsidR="006C5A95">
              <w:rPr>
                <w:color w:val="000000"/>
                <w:sz w:val="18"/>
                <w:szCs w:val="18"/>
              </w:rPr>
              <w:t>.</w:t>
            </w:r>
          </w:p>
        </w:tc>
      </w:tr>
      <w:tr w:rsidR="00021FF5" w:rsidRPr="003D6B19" w14:paraId="250CC5B0" w14:textId="77777777" w:rsidTr="003C5EF2">
        <w:tc>
          <w:tcPr>
            <w:tcW w:w="1079" w:type="pct"/>
          </w:tcPr>
          <w:p w14:paraId="053CE2E5" w14:textId="77777777" w:rsidR="006C5A95" w:rsidRPr="003D6B19" w:rsidRDefault="006C5A95" w:rsidP="003C5EF2">
            <w:pPr>
              <w:jc w:val="center"/>
              <w:rPr>
                <w:color w:val="000000"/>
                <w:highlight w:val="yellow"/>
                <w:lang w:val="pt-BR"/>
              </w:rPr>
            </w:pPr>
            <w:bookmarkStart w:id="1" w:name="_Hlk78354998"/>
          </w:p>
        </w:tc>
        <w:tc>
          <w:tcPr>
            <w:tcW w:w="3921" w:type="pct"/>
          </w:tcPr>
          <w:p w14:paraId="0BD92929" w14:textId="77777777" w:rsidR="006C5A95" w:rsidRPr="003D6B19" w:rsidRDefault="006C5A95" w:rsidP="003C5EF2">
            <w:pPr>
              <w:jc w:val="both"/>
              <w:rPr>
                <w:color w:val="000000"/>
                <w:highlight w:val="yellow"/>
                <w:lang w:val="pt-BR"/>
              </w:rPr>
            </w:pPr>
          </w:p>
        </w:tc>
      </w:tr>
      <w:tr w:rsidR="00021FF5" w:rsidRPr="003D6B19" w14:paraId="7AC2ECF6" w14:textId="77777777" w:rsidTr="003C5EF2">
        <w:tc>
          <w:tcPr>
            <w:tcW w:w="1079" w:type="pct"/>
          </w:tcPr>
          <w:p w14:paraId="7608C8D3" w14:textId="77777777" w:rsidR="006C5A95" w:rsidRPr="003D6B19" w:rsidRDefault="002769DF" w:rsidP="003C5EF2">
            <w:pPr>
              <w:jc w:val="center"/>
              <w:rPr>
                <w:color w:val="000000"/>
                <w:highlight w:val="yellow"/>
                <w:lang w:val="pt-BR"/>
              </w:rPr>
            </w:pPr>
            <w:r>
              <w:rPr>
                <w:noProof/>
                <w:color w:val="000000"/>
                <w14:ligatures w14:val="standardContextual"/>
              </w:rPr>
              <w:drawing>
                <wp:inline distT="0" distB="0" distL="0" distR="0" wp14:anchorId="06E1F0F3" wp14:editId="24E54AD5">
                  <wp:extent cx="1087981" cy="1435008"/>
                  <wp:effectExtent l="0" t="0" r="4445" b="635"/>
                  <wp:docPr id="1191608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08732" name="Picture 1191608732"/>
                          <pic:cNvPicPr/>
                        </pic:nvPicPr>
                        <pic:blipFill>
                          <a:blip r:embed="rId25">
                            <a:extLst>
                              <a:ext uri="{28A0092B-C50C-407E-A947-70E740481C1C}">
                                <a14:useLocalDpi xmlns:a14="http://schemas.microsoft.com/office/drawing/2010/main" val="0"/>
                              </a:ext>
                            </a:extLst>
                          </a:blip>
                          <a:stretch>
                            <a:fillRect/>
                          </a:stretch>
                        </pic:blipFill>
                        <pic:spPr>
                          <a:xfrm>
                            <a:off x="0" y="0"/>
                            <a:ext cx="1118030" cy="1474641"/>
                          </a:xfrm>
                          <a:prstGeom prst="rect">
                            <a:avLst/>
                          </a:prstGeom>
                        </pic:spPr>
                      </pic:pic>
                    </a:graphicData>
                  </a:graphic>
                </wp:inline>
              </w:drawing>
            </w:r>
          </w:p>
        </w:tc>
        <w:tc>
          <w:tcPr>
            <w:tcW w:w="3921" w:type="pct"/>
          </w:tcPr>
          <w:p w14:paraId="4A0D4954" w14:textId="77777777" w:rsidR="006C5A95" w:rsidRPr="003D6B19" w:rsidRDefault="002769DF" w:rsidP="003C5EF2">
            <w:pPr>
              <w:jc w:val="both"/>
              <w:rPr>
                <w:color w:val="000000"/>
                <w:sz w:val="18"/>
                <w:szCs w:val="18"/>
                <w:highlight w:val="yellow"/>
              </w:rPr>
            </w:pPr>
            <w:r w:rsidRPr="002769DF">
              <w:rPr>
                <w:b/>
                <w:bCs/>
                <w:color w:val="000000"/>
                <w:sz w:val="18"/>
                <w:szCs w:val="18"/>
              </w:rPr>
              <w:t>Ruchi Rani</w:t>
            </w:r>
            <w:r w:rsidR="006C5A95" w:rsidRPr="00971F15">
              <w:rPr>
                <w:b/>
                <w:bCs/>
                <w:color w:val="000000"/>
                <w:sz w:val="18"/>
                <w:szCs w:val="18"/>
              </w:rPr>
              <w:t xml:space="preserve"> </w:t>
            </w:r>
            <w:r w:rsidR="006C5A95">
              <w:rPr>
                <w:noProof/>
                <w:color w:val="000000"/>
                <w:sz w:val="18"/>
                <w:szCs w:val="18"/>
              </w:rPr>
              <w:drawing>
                <wp:inline distT="0" distB="0" distL="0" distR="0" wp14:anchorId="0B749BD5" wp14:editId="138AF4AD">
                  <wp:extent cx="114935" cy="114935"/>
                  <wp:effectExtent l="0" t="0" r="0" b="0"/>
                  <wp:docPr id="20" name="Picture 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54D95076" wp14:editId="7977A75F">
                  <wp:extent cx="114935" cy="114935"/>
                  <wp:effectExtent l="0" t="0" r="0" b="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27"/>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3D587B54" wp14:editId="06802A13">
                  <wp:extent cx="114935" cy="114935"/>
                  <wp:effectExtent l="0" t="0" r="0" b="0"/>
                  <wp:docPr id="18" name="Graphic 18">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8" name="Graphic 18">
                            <a:hlinkClick r:id="rId28"/>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4935" cy="114935"/>
                          </a:xfrm>
                          <a:prstGeom prst="rect">
                            <a:avLst/>
                          </a:prstGeom>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7DDAC53C" wp14:editId="6803EBBD">
                  <wp:extent cx="114935" cy="114935"/>
                  <wp:effectExtent l="0" t="0" r="0" b="0"/>
                  <wp:docPr id="17" name="Picture 1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9"/>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Pr="002769DF">
              <w:rPr>
                <w:color w:val="000000"/>
                <w:sz w:val="18"/>
                <w:szCs w:val="18"/>
              </w:rPr>
              <w:t xml:space="preserve">received a Bachelor’s degree in Computer Science Engineering from Kurukshetra University, Kurukshetra, India, in 2008, and a Master’s degree from Maharshi Dayanand University, Haryana, India, in 2012. She is currently pursuing a Ph.D. degree with the Department of Computer Science Engineering, Indian Institute of Information Technology Kottayam, Kerala, India, and working as an Assistant professor at the Department of Computer Engineering and Technology, School of Computer Engineering and Technology, Dr. Vishwanath </w:t>
            </w:r>
            <w:proofErr w:type="spellStart"/>
            <w:r w:rsidRPr="002769DF">
              <w:rPr>
                <w:color w:val="000000"/>
                <w:sz w:val="18"/>
                <w:szCs w:val="18"/>
              </w:rPr>
              <w:t>Karad</w:t>
            </w:r>
            <w:proofErr w:type="spellEnd"/>
            <w:r w:rsidRPr="002769DF">
              <w:rPr>
                <w:color w:val="000000"/>
                <w:sz w:val="18"/>
                <w:szCs w:val="18"/>
              </w:rPr>
              <w:t xml:space="preserve"> MIT World Peace University, Pune, Maharashtra, India, Pune, India. Her research interests include machine learning and deep learning. She can be contacted at email: ruchiasija20@gmail.com.</w:t>
            </w:r>
          </w:p>
        </w:tc>
      </w:tr>
      <w:tr w:rsidR="00021FF5" w:rsidRPr="003D6B19" w14:paraId="184907AC" w14:textId="77777777" w:rsidTr="003C5EF2">
        <w:trPr>
          <w:trHeight w:val="64"/>
        </w:trPr>
        <w:tc>
          <w:tcPr>
            <w:tcW w:w="1079" w:type="pct"/>
          </w:tcPr>
          <w:p w14:paraId="23098438" w14:textId="77777777" w:rsidR="006C5A95" w:rsidRPr="003D6B19" w:rsidRDefault="006C5A95" w:rsidP="003C5EF2">
            <w:pPr>
              <w:jc w:val="center"/>
              <w:rPr>
                <w:noProof/>
              </w:rPr>
            </w:pPr>
          </w:p>
        </w:tc>
        <w:tc>
          <w:tcPr>
            <w:tcW w:w="3921" w:type="pct"/>
          </w:tcPr>
          <w:p w14:paraId="3F220C92" w14:textId="77777777" w:rsidR="006C5A95" w:rsidRPr="003D6B19" w:rsidRDefault="006C5A95" w:rsidP="003C5EF2">
            <w:pPr>
              <w:jc w:val="both"/>
              <w:rPr>
                <w:b/>
                <w:bCs/>
                <w:color w:val="000000"/>
                <w:sz w:val="18"/>
                <w:szCs w:val="18"/>
              </w:rPr>
            </w:pPr>
          </w:p>
        </w:tc>
      </w:tr>
      <w:tr w:rsidR="00021FF5" w:rsidRPr="003D6B19" w14:paraId="3369DCD6" w14:textId="77777777" w:rsidTr="003C5EF2">
        <w:trPr>
          <w:trHeight w:val="64"/>
        </w:trPr>
        <w:tc>
          <w:tcPr>
            <w:tcW w:w="1079" w:type="pct"/>
          </w:tcPr>
          <w:p w14:paraId="44B801AA" w14:textId="77777777" w:rsidR="006C5A95" w:rsidRPr="00A73A62" w:rsidRDefault="00021FF5" w:rsidP="003C5EF2">
            <w:pPr>
              <w:jc w:val="center"/>
              <w:rPr>
                <w:noProof/>
                <w:sz w:val="24"/>
                <w:szCs w:val="24"/>
              </w:rPr>
            </w:pPr>
            <w:r>
              <w:rPr>
                <w:noProof/>
                <w:sz w:val="24"/>
                <w:szCs w:val="24"/>
                <w14:ligatures w14:val="standardContextual"/>
              </w:rPr>
              <w:drawing>
                <wp:inline distT="0" distB="0" distL="0" distR="0" wp14:anchorId="02CEBD61" wp14:editId="5043D2C2">
                  <wp:extent cx="1067738" cy="1408309"/>
                  <wp:effectExtent l="0" t="0" r="0" b="1905"/>
                  <wp:docPr id="337446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46585" name="Picture 337446585"/>
                          <pic:cNvPicPr/>
                        </pic:nvPicPr>
                        <pic:blipFill>
                          <a:blip r:embed="rId30">
                            <a:extLst>
                              <a:ext uri="{28A0092B-C50C-407E-A947-70E740481C1C}">
                                <a14:useLocalDpi xmlns:a14="http://schemas.microsoft.com/office/drawing/2010/main" val="0"/>
                              </a:ext>
                            </a:extLst>
                          </a:blip>
                          <a:stretch>
                            <a:fillRect/>
                          </a:stretch>
                        </pic:blipFill>
                        <pic:spPr>
                          <a:xfrm>
                            <a:off x="0" y="0"/>
                            <a:ext cx="1097214" cy="1447187"/>
                          </a:xfrm>
                          <a:prstGeom prst="rect">
                            <a:avLst/>
                          </a:prstGeom>
                        </pic:spPr>
                      </pic:pic>
                    </a:graphicData>
                  </a:graphic>
                </wp:inline>
              </w:drawing>
            </w:r>
          </w:p>
        </w:tc>
        <w:tc>
          <w:tcPr>
            <w:tcW w:w="3921" w:type="pct"/>
          </w:tcPr>
          <w:p w14:paraId="6224A8BA" w14:textId="77777777" w:rsidR="006C5A95" w:rsidRPr="00075E2D" w:rsidRDefault="00021FF5" w:rsidP="003C5EF2">
            <w:pPr>
              <w:jc w:val="both"/>
              <w:rPr>
                <w:b/>
                <w:bCs/>
                <w:color w:val="000000"/>
                <w:sz w:val="18"/>
                <w:szCs w:val="18"/>
              </w:rPr>
            </w:pPr>
            <w:bookmarkStart w:id="2" w:name="_Hlk81227280"/>
            <w:r w:rsidRPr="00021FF5">
              <w:rPr>
                <w:b/>
                <w:bCs/>
                <w:color w:val="000000"/>
                <w:sz w:val="18"/>
                <w:szCs w:val="18"/>
              </w:rPr>
              <w:t xml:space="preserve">Siti Hajar </w:t>
            </w:r>
            <w:proofErr w:type="spellStart"/>
            <w:r w:rsidRPr="00021FF5">
              <w:rPr>
                <w:b/>
                <w:bCs/>
                <w:color w:val="000000"/>
                <w:sz w:val="18"/>
                <w:szCs w:val="18"/>
              </w:rPr>
              <w:t>Yusoff</w:t>
            </w:r>
            <w:proofErr w:type="spellEnd"/>
            <w:r w:rsidRPr="00021FF5">
              <w:rPr>
                <w:b/>
                <w:bCs/>
                <w:color w:val="000000"/>
                <w:sz w:val="18"/>
                <w:szCs w:val="18"/>
              </w:rPr>
              <w:t xml:space="preserve"> </w:t>
            </w:r>
            <w:r w:rsidR="006C5A95" w:rsidRPr="00971F15">
              <w:rPr>
                <w:b/>
                <w:bCs/>
                <w:color w:val="000000"/>
                <w:sz w:val="18"/>
                <w:szCs w:val="18"/>
              </w:rPr>
              <w:t xml:space="preserve"> </w:t>
            </w:r>
            <w:bookmarkEnd w:id="2"/>
            <w:r w:rsidR="006C5A95">
              <w:rPr>
                <w:noProof/>
                <w:color w:val="000000"/>
                <w:sz w:val="18"/>
                <w:szCs w:val="18"/>
              </w:rPr>
              <w:drawing>
                <wp:inline distT="0" distB="0" distL="0" distR="0" wp14:anchorId="54F92FE0" wp14:editId="76AE7538">
                  <wp:extent cx="114935" cy="114935"/>
                  <wp:effectExtent l="0" t="0" r="0" b="0"/>
                  <wp:docPr id="28" name="Picture 2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3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1DD3E52C" wp14:editId="51DB6022">
                  <wp:extent cx="114935" cy="114935"/>
                  <wp:effectExtent l="0" t="0" r="0" b="0"/>
                  <wp:docPr id="29" name="Picture 2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2"/>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09C01259" wp14:editId="288C8653">
                  <wp:extent cx="114935" cy="114935"/>
                  <wp:effectExtent l="0" t="0" r="0" b="0"/>
                  <wp:docPr id="30" name="Graphic 30">
                    <a:hlinkClick xmlns:a="http://schemas.openxmlformats.org/drawingml/2006/main" r:id="rId33"/>
                  </wp:docPr>
                  <wp:cNvGraphicFramePr/>
                  <a:graphic xmlns:a="http://schemas.openxmlformats.org/drawingml/2006/main">
                    <a:graphicData uri="http://schemas.openxmlformats.org/drawingml/2006/picture">
                      <pic:pic xmlns:pic="http://schemas.openxmlformats.org/drawingml/2006/picture">
                        <pic:nvPicPr>
                          <pic:cNvPr id="30" name="Graphic 30">
                            <a:hlinkClick r:id="rId33"/>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4935" cy="114935"/>
                          </a:xfrm>
                          <a:prstGeom prst="rect">
                            <a:avLst/>
                          </a:prstGeom>
                        </pic:spPr>
                      </pic:pic>
                    </a:graphicData>
                  </a:graphic>
                </wp:inline>
              </w:drawing>
            </w:r>
            <w:r w:rsidR="006C5A95">
              <w:rPr>
                <w:color w:val="000000"/>
                <w:sz w:val="18"/>
                <w:szCs w:val="18"/>
              </w:rPr>
              <w:t xml:space="preserve"> </w:t>
            </w:r>
            <w:r w:rsidR="006C5A95">
              <w:rPr>
                <w:noProof/>
                <w:color w:val="000000"/>
                <w:sz w:val="18"/>
                <w:szCs w:val="18"/>
              </w:rPr>
              <w:drawing>
                <wp:inline distT="0" distB="0" distL="0" distR="0" wp14:anchorId="3209D527" wp14:editId="6639C8DB">
                  <wp:extent cx="114935" cy="114935"/>
                  <wp:effectExtent l="0" t="0" r="0" b="0"/>
                  <wp:docPr id="31" name="Picture 3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4"/>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6C5A95">
              <w:rPr>
                <w:color w:val="000000"/>
                <w:sz w:val="18"/>
                <w:szCs w:val="18"/>
              </w:rPr>
              <w:t xml:space="preserve"> </w:t>
            </w:r>
            <w:r w:rsidR="002769DF" w:rsidRPr="002769DF">
              <w:rPr>
                <w:color w:val="000000"/>
                <w:sz w:val="18"/>
                <w:szCs w:val="18"/>
              </w:rPr>
              <w:t xml:space="preserve">was a former student of </w:t>
            </w:r>
            <w:proofErr w:type="spellStart"/>
            <w:r w:rsidR="002769DF" w:rsidRPr="002769DF">
              <w:rPr>
                <w:color w:val="000000"/>
                <w:sz w:val="18"/>
                <w:szCs w:val="18"/>
              </w:rPr>
              <w:t>Kolej</w:t>
            </w:r>
            <w:proofErr w:type="spellEnd"/>
            <w:r w:rsidR="002769DF" w:rsidRPr="002769DF">
              <w:rPr>
                <w:color w:val="000000"/>
                <w:sz w:val="18"/>
                <w:szCs w:val="18"/>
              </w:rPr>
              <w:t xml:space="preserve"> Yayasan UEM (KYUEM), Lembah </w:t>
            </w:r>
            <w:proofErr w:type="spellStart"/>
            <w:r w:rsidR="002769DF" w:rsidRPr="002769DF">
              <w:rPr>
                <w:color w:val="000000"/>
                <w:sz w:val="18"/>
                <w:szCs w:val="18"/>
              </w:rPr>
              <w:t>Beringin</w:t>
            </w:r>
            <w:proofErr w:type="spellEnd"/>
            <w:r w:rsidR="002769DF" w:rsidRPr="002769DF">
              <w:rPr>
                <w:color w:val="000000"/>
                <w:sz w:val="18"/>
                <w:szCs w:val="18"/>
              </w:rPr>
              <w:t xml:space="preserve">. She obtained first class with </w:t>
            </w:r>
            <w:proofErr w:type="spellStart"/>
            <w:r w:rsidR="002769DF" w:rsidRPr="002769DF">
              <w:rPr>
                <w:color w:val="000000"/>
                <w:sz w:val="18"/>
                <w:szCs w:val="18"/>
              </w:rPr>
              <w:t>honours</w:t>
            </w:r>
            <w:proofErr w:type="spellEnd"/>
            <w:r w:rsidR="002769DF" w:rsidRPr="002769DF">
              <w:rPr>
                <w:color w:val="000000"/>
                <w:sz w:val="18"/>
                <w:szCs w:val="18"/>
              </w:rPr>
              <w:t xml:space="preserve"> in her M.Eng. Degree (First Class Hons) (Electrical Engineering) and Doctor of Philosophy in Electrical and Electronic Engineering from the University of Nottingham, United Kingdom. Currently, she is attached to the Department of Electrical and Computer Engineering. Her specialization is in power electronics and nonlinear control systems. Her research interests include wireless power transfer in electric vehicles (EV), energy management systems, renewable energy, microgrid, and IoT. She can be contacted at email: sitiyusoff@iium.edu.my.</w:t>
            </w:r>
          </w:p>
        </w:tc>
      </w:tr>
      <w:bookmarkEnd w:id="1"/>
    </w:tbl>
    <w:p w14:paraId="7F49BB7B" w14:textId="77777777" w:rsidR="00F47A99" w:rsidRPr="00902CC6" w:rsidRDefault="00F47A99" w:rsidP="003F6A32"/>
    <w:sectPr w:rsidR="00F47A99" w:rsidRPr="00902CC6" w:rsidSect="00EC5670">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3882" w14:textId="77777777" w:rsidR="005C4619" w:rsidRDefault="005C4619" w:rsidP="00902CC6">
      <w:r>
        <w:separator/>
      </w:r>
    </w:p>
  </w:endnote>
  <w:endnote w:type="continuationSeparator" w:id="0">
    <w:p w14:paraId="21622008" w14:textId="77777777" w:rsidR="005C4619" w:rsidRDefault="005C4619" w:rsidP="009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O">
    <w:altName w:val="Times New Roman"/>
    <w:panose1 w:val="020B0604020202020204"/>
    <w:charset w:val="00"/>
    <w:family w:val="auto"/>
    <w:notTrueType/>
    <w:pitch w:val="variable"/>
    <w:sig w:usb0="00000000"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ova Light">
    <w:panose1 w:val="020B03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694E" w14:textId="3D1AF174" w:rsidR="0075616F" w:rsidRPr="003D5B84" w:rsidRDefault="0075616F" w:rsidP="0075616F">
    <w:pPr>
      <w:pStyle w:val="Header"/>
      <w:tabs>
        <w:tab w:val="left" w:pos="2992"/>
      </w:tabs>
      <w:spacing w:before="240"/>
    </w:pPr>
    <w:r w:rsidRPr="00F20C31">
      <w:rPr>
        <w:noProof/>
        <w:sz w:val="18"/>
        <w:szCs w:val="18"/>
      </w:rPr>
      <mc:AlternateContent>
        <mc:Choice Requires="wps">
          <w:drawing>
            <wp:anchor distT="0" distB="0" distL="114300" distR="114300" simplePos="0" relativeHeight="251670528" behindDoc="0" locked="0" layoutInCell="1" allowOverlap="1" wp14:anchorId="05A8F35C" wp14:editId="3D8CC074">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10D5"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"/>
          </w:pict>
        </mc:Fallback>
      </mc:AlternateContent>
    </w:r>
    <w:proofErr w:type="spellStart"/>
    <w:r w:rsidR="0090102D" w:rsidRPr="0090102D">
      <w:rPr>
        <w:sz w:val="18"/>
        <w:szCs w:val="18"/>
      </w:rPr>
      <w:t>Nusant</w:t>
    </w:r>
    <w:proofErr w:type="spellEnd"/>
    <w:r w:rsidR="0090102D" w:rsidRPr="0090102D">
      <w:rPr>
        <w:sz w:val="18"/>
        <w:szCs w:val="18"/>
      </w:rPr>
      <w:t xml:space="preserve">. J. </w:t>
    </w:r>
    <w:proofErr w:type="spellStart"/>
    <w:r w:rsidR="0090102D" w:rsidRPr="0090102D">
      <w:rPr>
        <w:sz w:val="18"/>
        <w:szCs w:val="18"/>
      </w:rPr>
      <w:t>Artif</w:t>
    </w:r>
    <w:proofErr w:type="spellEnd"/>
    <w:r w:rsidR="0090102D" w:rsidRPr="0090102D">
      <w:rPr>
        <w:sz w:val="18"/>
        <w:szCs w:val="18"/>
      </w:rPr>
      <w:t xml:space="preserve">. </w:t>
    </w:r>
    <w:proofErr w:type="spellStart"/>
    <w:r w:rsidR="0090102D" w:rsidRPr="0090102D">
      <w:rPr>
        <w:sz w:val="18"/>
        <w:szCs w:val="18"/>
      </w:rPr>
      <w:t>Intell</w:t>
    </w:r>
    <w:proofErr w:type="spellEnd"/>
    <w:r w:rsidR="0090102D" w:rsidRPr="0090102D">
      <w:rPr>
        <w:sz w:val="18"/>
        <w:szCs w:val="18"/>
      </w:rPr>
      <w:t xml:space="preserve">. Inf. Syst., vol. 1, no. </w:t>
    </w:r>
    <w:r w:rsidR="0090102D">
      <w:rPr>
        <w:sz w:val="18"/>
        <w:szCs w:val="18"/>
      </w:rPr>
      <w:t>2</w:t>
    </w:r>
    <w:r w:rsidR="0090102D" w:rsidRPr="0090102D">
      <w:rPr>
        <w:sz w:val="18"/>
        <w:szCs w:val="18"/>
      </w:rPr>
      <w:t xml:space="preserve">, pp. </w:t>
    </w:r>
    <w:r w:rsidR="0090102D">
      <w:rPr>
        <w:sz w:val="18"/>
        <w:szCs w:val="18"/>
      </w:rPr>
      <w:t>89</w:t>
    </w:r>
    <w:r w:rsidR="0090102D" w:rsidRPr="0090102D">
      <w:rPr>
        <w:sz w:val="18"/>
        <w:szCs w:val="18"/>
      </w:rPr>
      <w:t>–1</w:t>
    </w:r>
    <w:r w:rsidR="0090102D">
      <w:rPr>
        <w:sz w:val="18"/>
        <w:szCs w:val="18"/>
      </w:rPr>
      <w:t>0</w:t>
    </w:r>
    <w:r w:rsidR="0090102D" w:rsidRPr="0090102D">
      <w:rPr>
        <w:sz w:val="18"/>
        <w:szCs w:val="18"/>
      </w:rPr>
      <w:t xml:space="preserve">0, </w:t>
    </w:r>
    <w:r w:rsidR="0090102D">
      <w:rPr>
        <w:sz w:val="18"/>
        <w:szCs w:val="18"/>
      </w:rPr>
      <w:t>Dec</w:t>
    </w:r>
    <w:r w:rsidR="0090102D" w:rsidRPr="0090102D">
      <w:rPr>
        <w:sz w:val="18"/>
        <w:szCs w:val="18"/>
      </w:rPr>
      <w:t xml:space="preserve">. 2025 </w:t>
    </w:r>
    <w:r w:rsidR="0090102D">
      <w:rPr>
        <w:sz w:val="18"/>
        <w:szCs w:val="18"/>
      </w:rPr>
      <w:tab/>
      <w:t>https://</w:t>
    </w:r>
    <w:r w:rsidR="0090102D" w:rsidRPr="0090102D">
      <w:rPr>
        <w:sz w:val="18"/>
        <w:szCs w:val="18"/>
      </w:rPr>
      <w:t>doi</w:t>
    </w:r>
    <w:r w:rsidR="0090102D">
      <w:rPr>
        <w:sz w:val="18"/>
        <w:szCs w:val="18"/>
      </w:rPr>
      <w:t>.org/</w:t>
    </w:r>
    <w:r w:rsidR="0090102D" w:rsidRPr="0090102D">
      <w:rPr>
        <w:sz w:val="18"/>
        <w:szCs w:val="18"/>
      </w:rPr>
      <w:t>10.47776/nuai.v1i</w:t>
    </w:r>
    <w:r w:rsidR="0090102D">
      <w:rPr>
        <w:sz w:val="18"/>
        <w:szCs w:val="18"/>
      </w:rPr>
      <w:t>2</w:t>
    </w:r>
    <w:r w:rsidR="0090102D" w:rsidRPr="0090102D">
      <w:rPr>
        <w:sz w:val="18"/>
        <w:szCs w:val="18"/>
      </w:rPr>
      <w:t>.</w:t>
    </w:r>
    <w:r w:rsidR="009255DA">
      <w:rPr>
        <w:sz w:val="18"/>
        <w:szCs w:val="18"/>
      </w:rPr>
      <w:t>88</w:t>
    </w:r>
    <w:r w:rsidR="0090102D" w:rsidRPr="0090102D">
      <w:rPr>
        <w:sz w:val="18"/>
        <w:szCs w:val="18"/>
      </w:rPr>
      <w:t>9</w:t>
    </w:r>
    <w:r w:rsidR="009255DA">
      <w:rPr>
        <w:sz w:val="18"/>
        <w:szCs w:val="18"/>
      </w:rPr>
      <w:t>9</w:t>
    </w:r>
  </w:p>
  <w:p w14:paraId="46B9CD5F" w14:textId="77777777" w:rsidR="00B93B5A" w:rsidRDefault="00B93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225" w14:textId="77777777" w:rsidR="00F47A99" w:rsidRPr="00C07BEF" w:rsidRDefault="00F47A99" w:rsidP="00F47A99">
    <w:pPr>
      <w:pStyle w:val="Footer"/>
      <w:jc w:val="right"/>
      <w:rPr>
        <w:i/>
      </w:rPr>
    </w:pPr>
    <w:r w:rsidRPr="00F5080C">
      <w:rPr>
        <w:i/>
        <w:iCs/>
        <w:noProof/>
      </w:rPr>
      <mc:AlternateContent>
        <mc:Choice Requires="wps">
          <w:drawing>
            <wp:anchor distT="0" distB="0" distL="114300" distR="114300" simplePos="0" relativeHeight="251676672" behindDoc="0" locked="0" layoutInCell="1" allowOverlap="1" wp14:anchorId="5BBFE62D" wp14:editId="6BEE237D">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0332F"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"/>
          </w:pict>
        </mc:Fallback>
      </mc:AlternateContent>
    </w:r>
    <w:r w:rsidR="00F5080C" w:rsidRPr="00F5080C">
      <w:rPr>
        <w:i/>
        <w:iCs/>
        <w:noProof/>
      </w:rPr>
      <w:t>Title of</w:t>
    </w:r>
    <w:r w:rsidRPr="00552051">
      <w:rPr>
        <w:i/>
        <w:iCs/>
        <w:noProof/>
      </w:rPr>
      <w:t xml:space="preserve"> </w:t>
    </w:r>
    <w:r w:rsidR="00F5080C">
      <w:rPr>
        <w:i/>
        <w:iCs/>
        <w:noProof/>
      </w:rPr>
      <w:t>research article</w:t>
    </w:r>
    <w:r w:rsidRPr="00552051">
      <w:rPr>
        <w:i/>
        <w:iCs/>
        <w:noProof/>
      </w:rPr>
      <w:t xml:space="preserve"> </w:t>
    </w:r>
    <w:r>
      <w:rPr>
        <w:i/>
      </w:rPr>
      <w:t>…</w:t>
    </w:r>
    <w:r w:rsidRPr="00C07BEF">
      <w:rPr>
        <w:i/>
      </w:rPr>
      <w:t xml:space="preserve"> (First Author)</w:t>
    </w:r>
  </w:p>
  <w:p w14:paraId="77E21131" w14:textId="77777777" w:rsidR="00F47A99" w:rsidRDefault="00F47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6510" w14:textId="77777777" w:rsidR="00B93B5A" w:rsidRPr="00530E42" w:rsidRDefault="006928A1" w:rsidP="00530E42">
    <w:pPr>
      <w:spacing w:before="120" w:after="120"/>
      <w:jc w:val="both"/>
      <w:rPr>
        <w:i/>
        <w:iCs/>
        <w:color w:val="000000"/>
        <w:sz w:val="16"/>
        <w:szCs w:val="16"/>
      </w:rPr>
    </w:pPr>
    <w:r>
      <w:rPr>
        <w:noProof/>
      </w:rPr>
      <mc:AlternateContent>
        <mc:Choice Requires="wps">
          <w:drawing>
            <wp:anchor distT="0" distB="0" distL="114300" distR="114300" simplePos="0" relativeHeight="251672576" behindDoc="0" locked="0" layoutInCell="1" allowOverlap="1" wp14:anchorId="231F26D0" wp14:editId="7D20BD5F">
              <wp:simplePos x="0" y="0"/>
              <wp:positionH relativeFrom="column">
                <wp:posOffset>-17780</wp:posOffset>
              </wp:positionH>
              <wp:positionV relativeFrom="paragraph">
                <wp:posOffset>45617</wp:posOffset>
              </wp:positionV>
              <wp:extent cx="5615940" cy="0"/>
              <wp:effectExtent l="0" t="0" r="10160" b="127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B1B6" id="_x0000_t32" coordsize="21600,21600" o:spt="32" o:oned="t" path="m,l21600,21600e" filled="f">
              <v:path arrowok="t" fillok="f" o:connecttype="none"/>
              <o:lock v:ext="edit" shapetype="t"/>
            </v:shapetype>
            <v:shape id="AutoShape 6" o:spid="_x0000_s1026" type="#_x0000_t32" style="position:absolute;margin-left:-1.4pt;margin-top:3.6pt;width:44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"/>
          </w:pict>
        </mc:Fallback>
      </mc:AlternateContent>
    </w:r>
    <w:r w:rsidR="00530E42" w:rsidRPr="00530E42">
      <w:rPr>
        <w:i/>
        <w:iCs/>
        <w:color w:val="000000"/>
        <w:sz w:val="18"/>
        <w:szCs w:val="18"/>
      </w:rPr>
      <w:t>©</w:t>
    </w:r>
    <w:r w:rsidR="00530E42" w:rsidRPr="00530E42">
      <w:rPr>
        <w:i/>
        <w:iCs/>
        <w:color w:val="000000"/>
        <w:sz w:val="16"/>
        <w:szCs w:val="16"/>
      </w:rPr>
      <w:t xml:space="preserve"> </w:t>
    </w:r>
    <w:r w:rsidR="00530E42" w:rsidRPr="000B6520">
      <w:rPr>
        <w:color w:val="000000"/>
        <w:sz w:val="16"/>
        <w:szCs w:val="16"/>
      </w:rPr>
      <w:t xml:space="preserve">2025 The Author(s). Published by Faculty of Engineering and Computer Science, Universitas </w:t>
    </w:r>
    <w:proofErr w:type="spellStart"/>
    <w:r w:rsidR="00530E42" w:rsidRPr="000B6520">
      <w:rPr>
        <w:color w:val="000000"/>
        <w:sz w:val="16"/>
        <w:szCs w:val="16"/>
      </w:rPr>
      <w:t>Nahdlatul</w:t>
    </w:r>
    <w:proofErr w:type="spellEnd"/>
    <w:r w:rsidR="00530E42" w:rsidRPr="000B6520">
      <w:rPr>
        <w:color w:val="000000"/>
        <w:sz w:val="16"/>
        <w:szCs w:val="16"/>
      </w:rPr>
      <w:t xml:space="preserve"> Ulama Indonesia. This is an open access article under the </w:t>
    </w:r>
    <w:hyperlink r:id="rId1" w:history="1">
      <w:r w:rsidR="00530E42" w:rsidRPr="000B6520">
        <w:rPr>
          <w:rStyle w:val="Hyperlink"/>
          <w:sz w:val="16"/>
          <w:szCs w:val="16"/>
        </w:rPr>
        <w:t>CC BY-NC-ND</w:t>
      </w:r>
    </w:hyperlink>
    <w:r w:rsidR="00530E42" w:rsidRPr="000B6520">
      <w:rPr>
        <w:color w:val="000000"/>
        <w:sz w:val="16"/>
        <w:szCs w:val="16"/>
      </w:rPr>
      <w:t xml:space="preserve"> license, which permits use and distribution in any medium, provided the original work is properly cited, the use is non-commercial, and no modifications or adaptations are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BC3" w14:textId="77777777" w:rsidR="005C4619" w:rsidRDefault="005C4619" w:rsidP="00902CC6">
      <w:r>
        <w:separator/>
      </w:r>
    </w:p>
  </w:footnote>
  <w:footnote w:type="continuationSeparator" w:id="0">
    <w:p w14:paraId="45D9E25E" w14:textId="77777777" w:rsidR="005C4619" w:rsidRDefault="005C4619" w:rsidP="0090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F7BB" w14:textId="77777777" w:rsidR="00B93B5A" w:rsidRPr="003D5B84" w:rsidRDefault="00B93B5A" w:rsidP="00B93B5A">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0B7615">
      <w:rPr>
        <w:rStyle w:val="PageNumber"/>
        <w:noProof/>
      </w:rPr>
      <w:t>4</w:t>
    </w:r>
    <w:r w:rsidRPr="003D5B84">
      <w:rPr>
        <w:rStyle w:val="PageNumber"/>
      </w:rPr>
      <w:fldChar w:fldCharType="end"/>
    </w:r>
  </w:p>
  <w:p w14:paraId="320BAAA9" w14:textId="1C3E9BE8" w:rsidR="00433094" w:rsidRDefault="00B93B5A" w:rsidP="00B93B5A">
    <w:pPr>
      <w:pStyle w:val="Header"/>
      <w:tabs>
        <w:tab w:val="right" w:pos="851"/>
        <w:tab w:val="left" w:pos="3405"/>
        <w:tab w:val="right" w:pos="8789"/>
      </w:tabs>
      <w:spacing w:after="240"/>
    </w:pPr>
    <w:r>
      <w:rPr>
        <w:noProof/>
      </w:rPr>
      <mc:AlternateContent>
        <mc:Choice Requires="wps">
          <w:drawing>
            <wp:anchor distT="0" distB="0" distL="114300" distR="114300" simplePos="0" relativeHeight="251666432" behindDoc="0" locked="0" layoutInCell="1" allowOverlap="1" wp14:anchorId="14A7853D" wp14:editId="79AF3632">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4DC4B"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"/>
          </w:pict>
        </mc:Fallback>
      </mc:AlternateContent>
    </w:r>
    <w:r w:rsidRPr="003D5B84">
      <w:t xml:space="preserve">     </w:t>
    </w:r>
    <w:r w:rsidRPr="003D5B84">
      <w:tab/>
    </w:r>
    <w:r w:rsidRPr="003D5B84">
      <w:tab/>
    </w:r>
    <w:r w:rsidRPr="003D5B84">
      <w:tab/>
      <w:t xml:space="preserve">       </w:t>
    </w:r>
    <w:r>
      <w:tab/>
    </w:r>
    <w:r w:rsidRPr="003D5B84">
      <w:t>ISSN</w:t>
    </w:r>
    <w:r>
      <w:t>:</w:t>
    </w:r>
    <w:r w:rsidRPr="003D5B84">
      <w:t xml:space="preserve"> </w:t>
    </w:r>
    <w:r w:rsidR="00F20C31" w:rsidRPr="00F20C31">
      <w:t>3090-8302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106" w14:textId="77777777" w:rsidR="00193F7D" w:rsidRPr="003D5B84" w:rsidRDefault="00193F7D" w:rsidP="00193F7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0B7615">
      <w:rPr>
        <w:rStyle w:val="PageNumber"/>
        <w:noProof/>
      </w:rPr>
      <w:t>5</w:t>
    </w:r>
    <w:r w:rsidRPr="003D5B84">
      <w:rPr>
        <w:rStyle w:val="PageNumber"/>
      </w:rPr>
      <w:fldChar w:fldCharType="end"/>
    </w:r>
  </w:p>
  <w:p w14:paraId="63FCC658" w14:textId="77777777" w:rsidR="00193F7D" w:rsidRPr="003D5B84" w:rsidRDefault="00193F7D" w:rsidP="00193F7D">
    <w:pPr>
      <w:pStyle w:val="Header"/>
      <w:tabs>
        <w:tab w:val="left" w:pos="0"/>
        <w:tab w:val="center" w:pos="4301"/>
        <w:tab w:val="left" w:pos="7938"/>
      </w:tabs>
    </w:pPr>
    <w:r>
      <w:rPr>
        <w:noProof/>
        <w:lang w:val="en-GB" w:eastAsia="en-GB"/>
      </w:rPr>
      <w:t>Nusant</w:t>
    </w:r>
    <w:r w:rsidR="00F5080C">
      <w:rPr>
        <w:noProof/>
        <w:lang w:val="en-GB" w:eastAsia="en-GB"/>
      </w:rPr>
      <w:t>ara</w:t>
    </w:r>
    <w:r>
      <w:rPr>
        <w:noProof/>
        <w:lang w:val="en-GB" w:eastAsia="en-GB"/>
      </w:rPr>
      <w:t xml:space="preserve"> J</w:t>
    </w:r>
    <w:r w:rsidR="00F5080C">
      <w:rPr>
        <w:noProof/>
        <w:lang w:val="en-GB" w:eastAsia="en-GB"/>
      </w:rPr>
      <w:t>ournal</w:t>
    </w:r>
    <w:r>
      <w:rPr>
        <w:noProof/>
        <w:lang w:val="en-GB" w:eastAsia="en-GB"/>
      </w:rPr>
      <w:t xml:space="preserve"> </w:t>
    </w:r>
    <w:r w:rsidR="00F5080C">
      <w:rPr>
        <w:noProof/>
        <w:lang w:val="en-GB" w:eastAsia="en-GB"/>
      </w:rPr>
      <w:t xml:space="preserve">of </w:t>
    </w:r>
    <w:r>
      <w:rPr>
        <w:noProof/>
        <w:lang w:val="en-GB" w:eastAsia="en-GB"/>
      </w:rPr>
      <w:t>Artif</w:t>
    </w:r>
    <w:r w:rsidR="00F5080C">
      <w:rPr>
        <w:noProof/>
        <w:lang w:val="en-GB" w:eastAsia="en-GB"/>
      </w:rPr>
      <w:t>icial</w:t>
    </w:r>
    <w:r>
      <w:rPr>
        <w:noProof/>
        <w:lang w:val="en-GB" w:eastAsia="en-GB"/>
      </w:rPr>
      <w:t xml:space="preserve"> Intell</w:t>
    </w:r>
    <w:r w:rsidR="00F5080C">
      <w:rPr>
        <w:noProof/>
        <w:lang w:val="en-GB" w:eastAsia="en-GB"/>
      </w:rPr>
      <w:t>igence</w:t>
    </w:r>
    <w:r>
      <w:rPr>
        <w:noProof/>
        <w:lang w:val="en-GB" w:eastAsia="en-GB"/>
      </w:rPr>
      <w:t xml:space="preserve"> </w:t>
    </w:r>
    <w:r w:rsidR="00F5080C">
      <w:rPr>
        <w:noProof/>
        <w:lang w:val="en-GB" w:eastAsia="en-GB"/>
      </w:rPr>
      <w:t xml:space="preserve">and </w:t>
    </w:r>
    <w:r>
      <w:rPr>
        <w:noProof/>
        <w:lang w:val="en-GB" w:eastAsia="en-GB"/>
      </w:rPr>
      <w:t>Inf</w:t>
    </w:r>
    <w:r w:rsidR="00F5080C">
      <w:rPr>
        <w:noProof/>
        <w:lang w:val="en-GB" w:eastAsia="en-GB"/>
      </w:rPr>
      <w:t>ormation</w:t>
    </w:r>
    <w:r>
      <w:rPr>
        <w:noProof/>
        <w:lang w:val="en-GB" w:eastAsia="en-GB"/>
      </w:rPr>
      <w:t xml:space="preserve"> Syst</w:t>
    </w:r>
    <w:r w:rsidR="00F5080C">
      <w:rPr>
        <w:noProof/>
        <w:lang w:val="en-GB" w:eastAsia="en-GB"/>
      </w:rPr>
      <w:t>ems</w:t>
    </w:r>
    <w:r>
      <w:rPr>
        <w:noProof/>
        <w:lang w:val="en-GB" w:eastAsia="en-GB"/>
      </w:rPr>
      <w:tab/>
    </w:r>
    <w:r w:rsidRPr="003D5B84">
      <w:tab/>
    </w:r>
  </w:p>
  <w:p w14:paraId="7351FEC6" w14:textId="77777777" w:rsidR="00902CC6" w:rsidRPr="00902CC6" w:rsidRDefault="00193F7D" w:rsidP="00F47A99">
    <w:pPr>
      <w:pStyle w:val="Header"/>
      <w:ind w:right="360"/>
    </w:pPr>
    <w:r>
      <w:rPr>
        <w:noProof/>
      </w:rPr>
      <mc:AlternateContent>
        <mc:Choice Requires="wps">
          <w:drawing>
            <wp:anchor distT="0" distB="0" distL="114300" distR="114300" simplePos="0" relativeHeight="251674624" behindDoc="0" locked="0" layoutInCell="1" allowOverlap="1" wp14:anchorId="51BF0F7A" wp14:editId="29C1AA24">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3276B"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&#13;&#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896159"/>
      <w:docPartObj>
        <w:docPartGallery w:val="Page Numbers (Top of Page)"/>
        <w:docPartUnique/>
      </w:docPartObj>
    </w:sdtPr>
    <w:sdtContent>
      <w:p w14:paraId="2A7980F6" w14:textId="77777777" w:rsidR="006F3CCD" w:rsidRDefault="006F3CCD" w:rsidP="00822B11">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5531E4" w14:textId="77777777" w:rsidR="00F5080C" w:rsidRPr="00F5080C" w:rsidRDefault="00954723" w:rsidP="006F3CCD">
    <w:pPr>
      <w:pBdr>
        <w:top w:val="nil"/>
        <w:left w:val="nil"/>
        <w:bottom w:val="nil"/>
        <w:right w:val="nil"/>
        <w:between w:val="nil"/>
      </w:pBdr>
      <w:tabs>
        <w:tab w:val="center" w:pos="4513"/>
      </w:tabs>
      <w:spacing w:after="120"/>
      <w:ind w:right="360"/>
      <w:rPr>
        <w:color w:val="000000"/>
        <w:sz w:val="16"/>
        <w:szCs w:val="16"/>
      </w:rPr>
    </w:pPr>
    <w:r w:rsidRPr="00213BF6">
      <w:rPr>
        <w:noProof/>
        <w:sz w:val="24"/>
        <w:szCs w:val="24"/>
      </w:rPr>
      <w:drawing>
        <wp:anchor distT="0" distB="0" distL="0" distR="0" simplePos="0" relativeHeight="251690496" behindDoc="1" locked="0" layoutInCell="1" hidden="0" allowOverlap="1" wp14:anchorId="29D455C4" wp14:editId="5BA438D7">
          <wp:simplePos x="0" y="0"/>
          <wp:positionH relativeFrom="column">
            <wp:posOffset>-1143635</wp:posOffset>
          </wp:positionH>
          <wp:positionV relativeFrom="paragraph">
            <wp:posOffset>-457835</wp:posOffset>
          </wp:positionV>
          <wp:extent cx="7627620" cy="930275"/>
          <wp:effectExtent l="0" t="0" r="5080" b="0"/>
          <wp:wrapNone/>
          <wp:docPr id="19945283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duotone>
                      <a:prstClr val="black"/>
                      <a:schemeClr val="bg1">
                        <a:lumMod val="85000"/>
                        <a:tint val="45000"/>
                        <a:satMod val="400000"/>
                      </a:schemeClr>
                    </a:duotone>
                  </a:blip>
                  <a:srcRect/>
                  <a:stretch>
                    <a:fillRect/>
                  </a:stretch>
                </pic:blipFill>
                <pic:spPr>
                  <a:xfrm>
                    <a:off x="0" y="0"/>
                    <a:ext cx="7695338" cy="938534"/>
                  </a:xfrm>
                  <a:prstGeom prst="rect">
                    <a:avLst/>
                  </a:prstGeom>
                  <a:ln/>
                </pic:spPr>
              </pic:pic>
            </a:graphicData>
          </a:graphic>
          <wp14:sizeRelH relativeFrom="margin">
            <wp14:pctWidth>0</wp14:pctWidth>
          </wp14:sizeRelH>
          <wp14:sizeRelV relativeFrom="margin">
            <wp14:pctHeight>0</wp14:pctHeight>
          </wp14:sizeRelV>
        </wp:anchor>
      </w:drawing>
    </w:r>
    <w:r w:rsidR="00F5080C" w:rsidRPr="00954723">
      <w:rPr>
        <w:rFonts w:eastAsia="Arial Nova Light"/>
        <w:sz w:val="16"/>
        <w:szCs w:val="16"/>
      </w:rPr>
      <w:t xml:space="preserve"> </w:t>
    </w:r>
  </w:p>
  <w:tbl>
    <w:tblPr>
      <w:tblStyle w:val="PlainTable3"/>
      <w:tblW w:w="9003" w:type="dxa"/>
      <w:tblLayout w:type="fixed"/>
      <w:tblLook w:val="0400" w:firstRow="0" w:lastRow="0" w:firstColumn="0" w:lastColumn="0" w:noHBand="0" w:noVBand="1"/>
    </w:tblPr>
    <w:tblGrid>
      <w:gridCol w:w="1101"/>
      <w:gridCol w:w="3543"/>
      <w:gridCol w:w="1872"/>
      <w:gridCol w:w="2487"/>
    </w:tblGrid>
    <w:tr w:rsidR="00CA19F9" w:rsidRPr="00954723" w14:paraId="577D793D" w14:textId="77777777" w:rsidTr="007D190C">
      <w:trPr>
        <w:cnfStyle w:val="000000100000" w:firstRow="0" w:lastRow="0" w:firstColumn="0" w:lastColumn="0" w:oddVBand="0" w:evenVBand="0" w:oddHBand="1" w:evenHBand="0" w:firstRowFirstColumn="0" w:firstRowLastColumn="0" w:lastRowFirstColumn="0" w:lastRowLastColumn="0"/>
      </w:trPr>
      <w:tc>
        <w:tcPr>
          <w:tcW w:w="1101" w:type="dxa"/>
          <w:vMerge w:val="restart"/>
        </w:tcPr>
        <w:p w14:paraId="6967A71B" w14:textId="77777777" w:rsidR="00CA19F9" w:rsidRPr="004E3EE2" w:rsidRDefault="00875B11" w:rsidP="00F5080C">
          <w:pPr>
            <w:pBdr>
              <w:top w:val="nil"/>
              <w:left w:val="nil"/>
              <w:bottom w:val="nil"/>
              <w:right w:val="nil"/>
              <w:between w:val="nil"/>
            </w:pBdr>
            <w:tabs>
              <w:tab w:val="center" w:pos="4513"/>
              <w:tab w:val="right" w:pos="9026"/>
            </w:tabs>
            <w:rPr>
              <w:rFonts w:eastAsia="Arial Nova Light"/>
              <w:b/>
            </w:rPr>
          </w:pPr>
          <w:r>
            <w:rPr>
              <w:rFonts w:eastAsia="Arial Nova Light"/>
              <w:b/>
              <w:noProof/>
              <w14:ligatures w14:val="standardContextual"/>
            </w:rPr>
            <w:drawing>
              <wp:inline distT="0" distB="0" distL="0" distR="0" wp14:anchorId="427E333D" wp14:editId="7E808299">
                <wp:extent cx="561975" cy="561975"/>
                <wp:effectExtent l="0" t="0" r="0" b="0"/>
                <wp:docPr id="1410936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36524" name="Picture 1410936524"/>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c>
        <w:tcPr>
          <w:tcW w:w="7902" w:type="dxa"/>
          <w:gridSpan w:val="3"/>
        </w:tcPr>
        <w:p w14:paraId="4882A840" w14:textId="77777777" w:rsidR="00CA19F9" w:rsidRPr="007D190C" w:rsidRDefault="00CA19F9" w:rsidP="00875B11">
          <w:pPr>
            <w:pBdr>
              <w:top w:val="nil"/>
              <w:left w:val="nil"/>
              <w:bottom w:val="nil"/>
              <w:right w:val="nil"/>
              <w:between w:val="nil"/>
            </w:pBdr>
            <w:tabs>
              <w:tab w:val="center" w:pos="4513"/>
              <w:tab w:val="right" w:pos="9026"/>
            </w:tabs>
            <w:spacing w:line="276" w:lineRule="auto"/>
            <w:rPr>
              <w:rFonts w:eastAsia="Arial Nova Light"/>
              <w:bCs/>
              <w:color w:val="000000" w:themeColor="text1"/>
            </w:rPr>
          </w:pPr>
          <w:r w:rsidRPr="007D190C">
            <w:rPr>
              <w:rFonts w:eastAsia="Arial Nova Light"/>
              <w:b/>
            </w:rPr>
            <w:t>Nusantara Journal of Artificial Intelligence and Information Systems</w:t>
          </w:r>
        </w:p>
      </w:tc>
    </w:tr>
    <w:tr w:rsidR="00CA19F9" w:rsidRPr="00954723" w14:paraId="6D1E1A36" w14:textId="77777777" w:rsidTr="007D190C">
      <w:tc>
        <w:tcPr>
          <w:tcW w:w="1101" w:type="dxa"/>
          <w:vMerge/>
        </w:tcPr>
        <w:p w14:paraId="03A0F8C6" w14:textId="77777777" w:rsidR="00CA19F9" w:rsidRPr="004E3EE2" w:rsidRDefault="00CA19F9" w:rsidP="00F5080C">
          <w:pPr>
            <w:pBdr>
              <w:top w:val="nil"/>
              <w:left w:val="nil"/>
              <w:bottom w:val="nil"/>
              <w:right w:val="nil"/>
              <w:between w:val="nil"/>
            </w:pBdr>
            <w:tabs>
              <w:tab w:val="center" w:pos="4513"/>
              <w:tab w:val="right" w:pos="9026"/>
            </w:tabs>
            <w:rPr>
              <w:rFonts w:eastAsia="Arial Nova Light"/>
              <w:b/>
            </w:rPr>
          </w:pPr>
        </w:p>
      </w:tc>
      <w:tc>
        <w:tcPr>
          <w:tcW w:w="3543" w:type="dxa"/>
        </w:tcPr>
        <w:p w14:paraId="51746EB7" w14:textId="1A497600" w:rsidR="00CA19F9" w:rsidRPr="00F20C31" w:rsidRDefault="00CA19F9" w:rsidP="00F5080C">
          <w:pPr>
            <w:pBdr>
              <w:top w:val="nil"/>
              <w:left w:val="nil"/>
              <w:bottom w:val="nil"/>
              <w:right w:val="nil"/>
              <w:between w:val="nil"/>
            </w:pBdr>
            <w:tabs>
              <w:tab w:val="center" w:pos="4513"/>
              <w:tab w:val="right" w:pos="9026"/>
            </w:tabs>
            <w:rPr>
              <w:rFonts w:eastAsia="Arial Nova Light"/>
              <w:b/>
              <w:sz w:val="16"/>
              <w:szCs w:val="16"/>
            </w:rPr>
          </w:pPr>
          <w:r w:rsidRPr="00F20C31">
            <w:rPr>
              <w:rFonts w:eastAsia="Arial Nova Light"/>
              <w:color w:val="000000"/>
              <w:sz w:val="16"/>
              <w:szCs w:val="16"/>
            </w:rPr>
            <w:t xml:space="preserve">Vol. 1, No. </w:t>
          </w:r>
          <w:r w:rsidR="0090102D">
            <w:rPr>
              <w:rFonts w:eastAsia="Arial Nova Light"/>
              <w:color w:val="000000"/>
              <w:sz w:val="16"/>
              <w:szCs w:val="16"/>
            </w:rPr>
            <w:t>2</w:t>
          </w:r>
          <w:r w:rsidRPr="00F20C31">
            <w:rPr>
              <w:rFonts w:eastAsia="Arial Nova Light"/>
              <w:color w:val="000000"/>
              <w:sz w:val="16"/>
              <w:szCs w:val="16"/>
            </w:rPr>
            <w:t xml:space="preserve">, </w:t>
          </w:r>
          <w:r w:rsidR="007D190C" w:rsidRPr="00F20C31">
            <w:rPr>
              <w:rFonts w:eastAsia="Arial Nova Light"/>
              <w:color w:val="000000"/>
              <w:sz w:val="16"/>
              <w:szCs w:val="16"/>
            </w:rPr>
            <w:t>December</w:t>
          </w:r>
          <w:r w:rsidRPr="00F20C31">
            <w:rPr>
              <w:rFonts w:eastAsia="Arial Nova Light"/>
              <w:color w:val="000000"/>
              <w:sz w:val="16"/>
              <w:szCs w:val="16"/>
            </w:rPr>
            <w:t xml:space="preserve"> 2025, pp </w:t>
          </w:r>
          <w:r w:rsidR="0090102D">
            <w:rPr>
              <w:rFonts w:eastAsia="Arial Nova Light"/>
              <w:color w:val="000000"/>
              <w:sz w:val="16"/>
              <w:szCs w:val="16"/>
            </w:rPr>
            <w:t>89</w:t>
          </w:r>
          <w:r w:rsidRPr="00F20C31">
            <w:rPr>
              <w:rFonts w:eastAsia="Arial Nova Light"/>
              <w:color w:val="000000"/>
              <w:sz w:val="16"/>
              <w:szCs w:val="16"/>
            </w:rPr>
            <w:t>-</w:t>
          </w:r>
          <w:r w:rsidR="0090102D">
            <w:rPr>
              <w:rFonts w:eastAsia="Arial Nova Light"/>
              <w:color w:val="000000"/>
              <w:sz w:val="16"/>
              <w:szCs w:val="16"/>
            </w:rPr>
            <w:t>100</w:t>
          </w:r>
        </w:p>
      </w:tc>
      <w:tc>
        <w:tcPr>
          <w:tcW w:w="4359" w:type="dxa"/>
          <w:gridSpan w:val="2"/>
        </w:tcPr>
        <w:p w14:paraId="7AC83174" w14:textId="77777777" w:rsidR="00CA19F9" w:rsidRPr="00F20C31" w:rsidRDefault="00CA19F9" w:rsidP="00CA19F9">
          <w:pPr>
            <w:pBdr>
              <w:top w:val="nil"/>
              <w:left w:val="nil"/>
              <w:bottom w:val="nil"/>
              <w:right w:val="nil"/>
              <w:between w:val="nil"/>
            </w:pBdr>
            <w:tabs>
              <w:tab w:val="center" w:pos="4513"/>
              <w:tab w:val="right" w:pos="9026"/>
            </w:tabs>
            <w:rPr>
              <w:rFonts w:eastAsia="Arial Nova Light"/>
              <w:bCs/>
              <w:color w:val="000000" w:themeColor="text1"/>
              <w:sz w:val="16"/>
              <w:szCs w:val="16"/>
            </w:rPr>
          </w:pPr>
          <w:r w:rsidRPr="00F20C31">
            <w:rPr>
              <w:rFonts w:eastAsia="Arial Nova Light"/>
              <w:color w:val="000000"/>
              <w:sz w:val="16"/>
              <w:szCs w:val="16"/>
            </w:rPr>
            <w:t xml:space="preserve">journal homepage: </w:t>
          </w:r>
          <w:r w:rsidR="007D190C" w:rsidRPr="00F20C31">
            <w:rPr>
              <w:rFonts w:eastAsia="Arial Nova Light"/>
              <w:color w:val="000000"/>
              <w:sz w:val="16"/>
              <w:szCs w:val="16"/>
            </w:rPr>
            <w:t>https://</w:t>
          </w:r>
          <w:r w:rsidRPr="00F20C31">
            <w:rPr>
              <w:rFonts w:eastAsia="Arial Nova Light"/>
              <w:color w:val="000000"/>
              <w:sz w:val="16"/>
              <w:szCs w:val="16"/>
            </w:rPr>
            <w:t>journal.unusia.ac.id/nuai</w:t>
          </w:r>
        </w:p>
      </w:tc>
    </w:tr>
    <w:tr w:rsidR="00C70911" w:rsidRPr="00954723" w14:paraId="5C29DD81" w14:textId="77777777" w:rsidTr="007D190C">
      <w:trPr>
        <w:cnfStyle w:val="000000100000" w:firstRow="0" w:lastRow="0" w:firstColumn="0" w:lastColumn="0" w:oddVBand="0" w:evenVBand="0" w:oddHBand="1" w:evenHBand="0" w:firstRowFirstColumn="0" w:firstRowLastColumn="0" w:lastRowFirstColumn="0" w:lastRowLastColumn="0"/>
      </w:trPr>
      <w:tc>
        <w:tcPr>
          <w:tcW w:w="1101" w:type="dxa"/>
          <w:vMerge/>
        </w:tcPr>
        <w:p w14:paraId="36E07930" w14:textId="77777777" w:rsidR="00CA19F9" w:rsidRPr="004E3EE2" w:rsidRDefault="00CA19F9" w:rsidP="00F5080C">
          <w:pPr>
            <w:pBdr>
              <w:top w:val="nil"/>
              <w:left w:val="nil"/>
              <w:bottom w:val="nil"/>
              <w:right w:val="nil"/>
              <w:between w:val="nil"/>
            </w:pBdr>
            <w:tabs>
              <w:tab w:val="center" w:pos="4513"/>
              <w:tab w:val="right" w:pos="9026"/>
            </w:tabs>
            <w:rPr>
              <w:rFonts w:eastAsia="Arial Nova Light"/>
              <w:b/>
            </w:rPr>
          </w:pPr>
        </w:p>
      </w:tc>
      <w:tc>
        <w:tcPr>
          <w:tcW w:w="3543" w:type="dxa"/>
          <w:vAlign w:val="center"/>
        </w:tcPr>
        <w:p w14:paraId="5C95EBBF" w14:textId="77777777" w:rsidR="00CA19F9" w:rsidRPr="00F20C31" w:rsidRDefault="00CA19F9" w:rsidP="00F5080C">
          <w:pPr>
            <w:pBdr>
              <w:top w:val="nil"/>
              <w:left w:val="nil"/>
              <w:bottom w:val="nil"/>
              <w:right w:val="nil"/>
              <w:between w:val="nil"/>
            </w:pBdr>
            <w:tabs>
              <w:tab w:val="center" w:pos="4513"/>
              <w:tab w:val="right" w:pos="9026"/>
            </w:tabs>
            <w:rPr>
              <w:bCs/>
              <w:color w:val="000000"/>
              <w:sz w:val="16"/>
              <w:szCs w:val="16"/>
            </w:rPr>
          </w:pPr>
          <w:r w:rsidRPr="00F20C31">
            <w:rPr>
              <w:rFonts w:eastAsia="Arial Nova Light"/>
              <w:b/>
              <w:sz w:val="16"/>
              <w:szCs w:val="16"/>
            </w:rPr>
            <w:t>Research Article</w:t>
          </w:r>
        </w:p>
      </w:tc>
      <w:tc>
        <w:tcPr>
          <w:tcW w:w="1872" w:type="dxa"/>
          <w:vAlign w:val="center"/>
        </w:tcPr>
        <w:p w14:paraId="7E81D8E6" w14:textId="273EBF62" w:rsidR="00CA19F9" w:rsidRPr="00F20C31" w:rsidRDefault="00CA19F9" w:rsidP="00C70911">
          <w:pPr>
            <w:pBdr>
              <w:top w:val="nil"/>
              <w:left w:val="nil"/>
              <w:bottom w:val="nil"/>
              <w:right w:val="nil"/>
              <w:between w:val="nil"/>
            </w:pBdr>
            <w:tabs>
              <w:tab w:val="center" w:pos="4513"/>
              <w:tab w:val="right" w:pos="9026"/>
            </w:tabs>
            <w:rPr>
              <w:rFonts w:eastAsia="Arial Nova Light"/>
              <w:bCs/>
              <w:color w:val="000000" w:themeColor="text1"/>
              <w:sz w:val="16"/>
              <w:szCs w:val="16"/>
            </w:rPr>
          </w:pPr>
          <w:r w:rsidRPr="00F20C31">
            <w:rPr>
              <w:rFonts w:eastAsia="Arial Nova Light"/>
              <w:bCs/>
              <w:sz w:val="16"/>
              <w:szCs w:val="16"/>
            </w:rPr>
            <w:t xml:space="preserve">ISSN: </w:t>
          </w:r>
          <w:r w:rsidR="00F20C31" w:rsidRPr="00F20C31">
            <w:rPr>
              <w:rFonts w:eastAsia="Arial Nova Light"/>
              <w:bCs/>
              <w:sz w:val="16"/>
              <w:szCs w:val="16"/>
            </w:rPr>
            <w:t>3090-8302</w:t>
          </w:r>
        </w:p>
      </w:tc>
      <w:tc>
        <w:tcPr>
          <w:tcW w:w="2487" w:type="dxa"/>
          <w:vAlign w:val="center"/>
        </w:tcPr>
        <w:p w14:paraId="566AD994" w14:textId="27001659" w:rsidR="00CA19F9" w:rsidRPr="00F20C31" w:rsidRDefault="00CA19F9" w:rsidP="00C70911">
          <w:pPr>
            <w:pBdr>
              <w:top w:val="nil"/>
              <w:left w:val="nil"/>
              <w:bottom w:val="nil"/>
              <w:right w:val="nil"/>
              <w:between w:val="nil"/>
            </w:pBdr>
            <w:tabs>
              <w:tab w:val="center" w:pos="4513"/>
              <w:tab w:val="right" w:pos="9026"/>
            </w:tabs>
            <w:rPr>
              <w:bCs/>
              <w:color w:val="20A3A0"/>
              <w:sz w:val="16"/>
              <w:szCs w:val="16"/>
            </w:rPr>
          </w:pPr>
          <w:r w:rsidRPr="00F20C31">
            <w:rPr>
              <w:rFonts w:eastAsia="Arial Nova Light"/>
              <w:bCs/>
              <w:color w:val="000000" w:themeColor="text1"/>
              <w:sz w:val="16"/>
              <w:szCs w:val="16"/>
            </w:rPr>
            <w:t xml:space="preserve">DOI: </w:t>
          </w:r>
          <w:r w:rsidRPr="00F20C31">
            <w:rPr>
              <w:rFonts w:eastAsia="Arial Nova Light"/>
              <w:bCs/>
              <w:sz w:val="16"/>
              <w:szCs w:val="16"/>
            </w:rPr>
            <w:t>10.47776/</w:t>
          </w:r>
          <w:proofErr w:type="gramStart"/>
          <w:r w:rsidRPr="00F20C31">
            <w:rPr>
              <w:rFonts w:eastAsia="Arial Nova Light"/>
              <w:bCs/>
              <w:sz w:val="16"/>
              <w:szCs w:val="16"/>
            </w:rPr>
            <w:t>nuai</w:t>
          </w:r>
          <w:r w:rsidR="007D190C" w:rsidRPr="00F20C31">
            <w:rPr>
              <w:rFonts w:eastAsia="Arial Nova Light"/>
              <w:bCs/>
              <w:sz w:val="16"/>
              <w:szCs w:val="16"/>
            </w:rPr>
            <w:t>.v</w:t>
          </w:r>
          <w:proofErr w:type="gramEnd"/>
          <w:r w:rsidR="007D190C" w:rsidRPr="00F20C31">
            <w:rPr>
              <w:rFonts w:eastAsia="Arial Nova Light"/>
              <w:bCs/>
              <w:sz w:val="16"/>
              <w:szCs w:val="16"/>
            </w:rPr>
            <w:t>1i</w:t>
          </w:r>
          <w:r w:rsidR="0090102D">
            <w:rPr>
              <w:rFonts w:eastAsia="Arial Nova Light"/>
              <w:bCs/>
              <w:sz w:val="16"/>
              <w:szCs w:val="16"/>
            </w:rPr>
            <w:t>2</w:t>
          </w:r>
          <w:r w:rsidR="007D190C" w:rsidRPr="00F20C31">
            <w:rPr>
              <w:rFonts w:eastAsia="Arial Nova Light"/>
              <w:bCs/>
              <w:sz w:val="16"/>
              <w:szCs w:val="16"/>
            </w:rPr>
            <w:t>.</w:t>
          </w:r>
          <w:r w:rsidR="009255DA">
            <w:rPr>
              <w:rFonts w:eastAsia="Arial Nova Light"/>
              <w:bCs/>
              <w:sz w:val="16"/>
              <w:szCs w:val="16"/>
            </w:rPr>
            <w:t>88</w:t>
          </w:r>
          <w:r w:rsidR="007D190C" w:rsidRPr="00F20C31">
            <w:rPr>
              <w:rFonts w:eastAsia="Arial Nova Light"/>
              <w:bCs/>
              <w:sz w:val="16"/>
              <w:szCs w:val="16"/>
            </w:rPr>
            <w:t>99</w:t>
          </w:r>
        </w:p>
      </w:tc>
    </w:tr>
  </w:tbl>
  <w:p w14:paraId="4D23766E" w14:textId="77777777" w:rsidR="00433094" w:rsidRPr="00F5080C" w:rsidRDefault="00433094" w:rsidP="00F20C31">
    <w:pPr>
      <w:pStyle w:val="Header"/>
      <w:spacing w:after="120"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11394"/>
    <w:multiLevelType w:val="hybridMultilevel"/>
    <w:tmpl w:val="E356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04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6"/>
    <w:rsid w:val="0000147F"/>
    <w:rsid w:val="00021FF5"/>
    <w:rsid w:val="00096881"/>
    <w:rsid w:val="000976E2"/>
    <w:rsid w:val="000B6520"/>
    <w:rsid w:val="000B7615"/>
    <w:rsid w:val="000B766A"/>
    <w:rsid w:val="001452A4"/>
    <w:rsid w:val="00147838"/>
    <w:rsid w:val="00173A21"/>
    <w:rsid w:val="00182D28"/>
    <w:rsid w:val="00182DD1"/>
    <w:rsid w:val="00183D42"/>
    <w:rsid w:val="00193F7D"/>
    <w:rsid w:val="001A716F"/>
    <w:rsid w:val="001D284D"/>
    <w:rsid w:val="001F36D6"/>
    <w:rsid w:val="00213BF6"/>
    <w:rsid w:val="002608D1"/>
    <w:rsid w:val="002769DF"/>
    <w:rsid w:val="00301E71"/>
    <w:rsid w:val="00316D4A"/>
    <w:rsid w:val="003269EA"/>
    <w:rsid w:val="00342480"/>
    <w:rsid w:val="00346BE9"/>
    <w:rsid w:val="00367471"/>
    <w:rsid w:val="00380DA5"/>
    <w:rsid w:val="003C7B33"/>
    <w:rsid w:val="003F6A32"/>
    <w:rsid w:val="004137E7"/>
    <w:rsid w:val="00433094"/>
    <w:rsid w:val="00460519"/>
    <w:rsid w:val="0047616C"/>
    <w:rsid w:val="00485EA7"/>
    <w:rsid w:val="00493C24"/>
    <w:rsid w:val="004A3AAB"/>
    <w:rsid w:val="004D2225"/>
    <w:rsid w:val="00530E42"/>
    <w:rsid w:val="0054314C"/>
    <w:rsid w:val="005779CD"/>
    <w:rsid w:val="005B7D65"/>
    <w:rsid w:val="005C4619"/>
    <w:rsid w:val="00606439"/>
    <w:rsid w:val="00632221"/>
    <w:rsid w:val="006617D9"/>
    <w:rsid w:val="00662F5A"/>
    <w:rsid w:val="006917C8"/>
    <w:rsid w:val="006928A1"/>
    <w:rsid w:val="006C5A95"/>
    <w:rsid w:val="006F3CCD"/>
    <w:rsid w:val="007217FA"/>
    <w:rsid w:val="0075616F"/>
    <w:rsid w:val="00784C04"/>
    <w:rsid w:val="007B0F6F"/>
    <w:rsid w:val="007B6617"/>
    <w:rsid w:val="007D190C"/>
    <w:rsid w:val="007E11E5"/>
    <w:rsid w:val="007E3769"/>
    <w:rsid w:val="008051B7"/>
    <w:rsid w:val="00814A8B"/>
    <w:rsid w:val="00820514"/>
    <w:rsid w:val="00825C35"/>
    <w:rsid w:val="00871EFC"/>
    <w:rsid w:val="00875B11"/>
    <w:rsid w:val="00884647"/>
    <w:rsid w:val="008D57ED"/>
    <w:rsid w:val="0090102D"/>
    <w:rsid w:val="00902CC6"/>
    <w:rsid w:val="009255DA"/>
    <w:rsid w:val="00954723"/>
    <w:rsid w:val="00987DD1"/>
    <w:rsid w:val="009C7B89"/>
    <w:rsid w:val="009D1C9A"/>
    <w:rsid w:val="009D59C9"/>
    <w:rsid w:val="00AC78B9"/>
    <w:rsid w:val="00AE3548"/>
    <w:rsid w:val="00B93B5A"/>
    <w:rsid w:val="00BA0960"/>
    <w:rsid w:val="00BA0DFB"/>
    <w:rsid w:val="00BA67E6"/>
    <w:rsid w:val="00BC36D3"/>
    <w:rsid w:val="00BE0BB4"/>
    <w:rsid w:val="00C16CB1"/>
    <w:rsid w:val="00C50642"/>
    <w:rsid w:val="00C70911"/>
    <w:rsid w:val="00CA19F9"/>
    <w:rsid w:val="00CA42C4"/>
    <w:rsid w:val="00CB6B56"/>
    <w:rsid w:val="00CF0474"/>
    <w:rsid w:val="00D13ECD"/>
    <w:rsid w:val="00D15C0C"/>
    <w:rsid w:val="00D328B4"/>
    <w:rsid w:val="00D357C6"/>
    <w:rsid w:val="00DA5886"/>
    <w:rsid w:val="00DE2B81"/>
    <w:rsid w:val="00E220B4"/>
    <w:rsid w:val="00E51D4A"/>
    <w:rsid w:val="00EA1FA4"/>
    <w:rsid w:val="00EC5670"/>
    <w:rsid w:val="00F20C31"/>
    <w:rsid w:val="00F47194"/>
    <w:rsid w:val="00F47A99"/>
    <w:rsid w:val="00F5080C"/>
    <w:rsid w:val="00FB697E"/>
    <w:rsid w:val="00FE3D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B913"/>
  <w15:docId w15:val="{69C8934E-7382-DD4F-B707-DF525C40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C6"/>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2CC6"/>
    <w:pPr>
      <w:tabs>
        <w:tab w:val="center" w:pos="4680"/>
        <w:tab w:val="right" w:pos="9360"/>
      </w:tabs>
    </w:pPr>
  </w:style>
  <w:style w:type="character" w:customStyle="1" w:styleId="HeaderChar">
    <w:name w:val="Header Char"/>
    <w:basedOn w:val="DefaultParagraphFont"/>
    <w:link w:val="Header"/>
    <w:uiPriority w:val="99"/>
    <w:rsid w:val="00902CC6"/>
  </w:style>
  <w:style w:type="paragraph" w:styleId="Footer">
    <w:name w:val="footer"/>
    <w:basedOn w:val="Normal"/>
    <w:link w:val="FooterChar"/>
    <w:unhideWhenUsed/>
    <w:rsid w:val="00902CC6"/>
    <w:pPr>
      <w:tabs>
        <w:tab w:val="center" w:pos="4680"/>
        <w:tab w:val="right" w:pos="9360"/>
      </w:tabs>
    </w:pPr>
  </w:style>
  <w:style w:type="character" w:customStyle="1" w:styleId="FooterChar">
    <w:name w:val="Footer Char"/>
    <w:basedOn w:val="DefaultParagraphFont"/>
    <w:link w:val="Footer"/>
    <w:uiPriority w:val="99"/>
    <w:rsid w:val="00902CC6"/>
  </w:style>
  <w:style w:type="character" w:styleId="PageNumber">
    <w:name w:val="page number"/>
    <w:basedOn w:val="DefaultParagraphFont"/>
    <w:rsid w:val="00902CC6"/>
  </w:style>
  <w:style w:type="table" w:styleId="TableGrid">
    <w:name w:val="Table Grid"/>
    <w:basedOn w:val="TableNormal"/>
    <w:uiPriority w:val="59"/>
    <w:rsid w:val="00902CC6"/>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02CC6"/>
    <w:rPr>
      <w:color w:val="0000FF"/>
      <w:u w:val="single"/>
    </w:rPr>
  </w:style>
  <w:style w:type="paragraph" w:styleId="Title">
    <w:name w:val="Title"/>
    <w:basedOn w:val="Normal"/>
    <w:link w:val="TitleChar"/>
    <w:qFormat/>
    <w:rsid w:val="00902CC6"/>
    <w:pPr>
      <w:jc w:val="center"/>
    </w:pPr>
    <w:rPr>
      <w:b/>
      <w:bCs/>
      <w:sz w:val="28"/>
      <w:szCs w:val="24"/>
      <w:lang w:val="id-ID"/>
    </w:rPr>
  </w:style>
  <w:style w:type="character" w:customStyle="1" w:styleId="TitleChar">
    <w:name w:val="Title Char"/>
    <w:basedOn w:val="DefaultParagraphFont"/>
    <w:link w:val="Title"/>
    <w:rsid w:val="00902CC6"/>
    <w:rPr>
      <w:rFonts w:ascii="Times New Roman" w:eastAsia="Times New Roman" w:hAnsi="Times New Roman" w:cs="Times New Roman"/>
      <w:b/>
      <w:bCs/>
      <w:kern w:val="0"/>
      <w:sz w:val="28"/>
      <w:lang w:val="id-ID"/>
      <w14:ligatures w14:val="none"/>
    </w:rPr>
  </w:style>
  <w:style w:type="paragraph" w:styleId="ListParagraph">
    <w:name w:val="List Paragraph"/>
    <w:basedOn w:val="Normal"/>
    <w:uiPriority w:val="34"/>
    <w:qFormat/>
    <w:rsid w:val="009C7B89"/>
    <w:pPr>
      <w:ind w:left="720"/>
      <w:contextualSpacing/>
    </w:pPr>
  </w:style>
  <w:style w:type="character" w:customStyle="1" w:styleId="UnresolvedMention1">
    <w:name w:val="Unresolved Mention1"/>
    <w:basedOn w:val="DefaultParagraphFont"/>
    <w:uiPriority w:val="99"/>
    <w:semiHidden/>
    <w:unhideWhenUsed/>
    <w:rsid w:val="00380DA5"/>
    <w:rPr>
      <w:color w:val="605E5C"/>
      <w:shd w:val="clear" w:color="auto" w:fill="E1DFDD"/>
    </w:rPr>
  </w:style>
  <w:style w:type="table" w:customStyle="1" w:styleId="PlainTable11">
    <w:name w:val="Plain Table 11"/>
    <w:basedOn w:val="TableNormal"/>
    <w:uiPriority w:val="41"/>
    <w:rsid w:val="009547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547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11">
    <w:name w:val="Grid Table 2 - Accent 11"/>
    <w:basedOn w:val="TableNormal"/>
    <w:uiPriority w:val="47"/>
    <w:rsid w:val="0095472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1">
    <w:name w:val="List Table 1 Light1"/>
    <w:basedOn w:val="TableNormal"/>
    <w:uiPriority w:val="46"/>
    <w:rsid w:val="009547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95472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95472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1">
    <w:name w:val="Grid Table 21"/>
    <w:basedOn w:val="TableNormal"/>
    <w:uiPriority w:val="47"/>
    <w:rsid w:val="009547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42480"/>
    <w:rPr>
      <w:rFonts w:ascii="Tahoma" w:hAnsi="Tahoma" w:cs="Tahoma"/>
      <w:sz w:val="16"/>
      <w:szCs w:val="16"/>
    </w:rPr>
  </w:style>
  <w:style w:type="character" w:customStyle="1" w:styleId="BalloonTextChar">
    <w:name w:val="Balloon Text Char"/>
    <w:basedOn w:val="DefaultParagraphFont"/>
    <w:link w:val="BalloonText"/>
    <w:uiPriority w:val="99"/>
    <w:semiHidden/>
    <w:rsid w:val="00342480"/>
    <w:rPr>
      <w:rFonts w:ascii="Tahoma" w:eastAsia="Times New Roman" w:hAnsi="Tahoma" w:cs="Tahoma"/>
      <w:kern w:val="0"/>
      <w:sz w:val="16"/>
      <w:szCs w:val="16"/>
      <w:lang w:val="en-US"/>
      <w14:ligatures w14:val="none"/>
    </w:rPr>
  </w:style>
  <w:style w:type="paragraph" w:customStyle="1" w:styleId="Image">
    <w:name w:val="Image"/>
    <w:basedOn w:val="Normal"/>
    <w:rsid w:val="00D13ECD"/>
    <w:pPr>
      <w:keepNext/>
      <w:spacing w:after="200" w:line="225" w:lineRule="atLeast"/>
      <w:jc w:val="center"/>
    </w:pPr>
    <w:rPr>
      <w:rFonts w:ascii="Linux Libertine O" w:eastAsia="Cambria" w:hAnsi="Linux Libertine O" w:cs="Linux Libertine O"/>
      <w:sz w:val="18"/>
      <w:szCs w:val="24"/>
    </w:rPr>
  </w:style>
  <w:style w:type="character" w:styleId="UnresolvedMention">
    <w:name w:val="Unresolved Mention"/>
    <w:basedOn w:val="DefaultParagraphFont"/>
    <w:uiPriority w:val="99"/>
    <w:semiHidden/>
    <w:unhideWhenUsed/>
    <w:rsid w:val="006F3CCD"/>
    <w:rPr>
      <w:color w:val="605E5C"/>
      <w:shd w:val="clear" w:color="auto" w:fill="E1DFDD"/>
    </w:rPr>
  </w:style>
  <w:style w:type="table" w:styleId="PlainTable1">
    <w:name w:val="Plain Table 1"/>
    <w:basedOn w:val="TableNormal"/>
    <w:uiPriority w:val="41"/>
    <w:rsid w:val="00C709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75B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F20C31"/>
    <w:rPr>
      <w:sz w:val="16"/>
      <w:szCs w:val="16"/>
    </w:rPr>
  </w:style>
  <w:style w:type="paragraph" w:styleId="CommentText">
    <w:name w:val="annotation text"/>
    <w:basedOn w:val="Normal"/>
    <w:link w:val="CommentTextChar"/>
    <w:uiPriority w:val="99"/>
    <w:semiHidden/>
    <w:unhideWhenUsed/>
    <w:rsid w:val="00F20C31"/>
  </w:style>
  <w:style w:type="character" w:customStyle="1" w:styleId="CommentTextChar">
    <w:name w:val="Comment Text Char"/>
    <w:basedOn w:val="DefaultParagraphFont"/>
    <w:link w:val="CommentText"/>
    <w:uiPriority w:val="99"/>
    <w:semiHidden/>
    <w:rsid w:val="00F20C3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20C31"/>
    <w:rPr>
      <w:b/>
      <w:bCs/>
    </w:rPr>
  </w:style>
  <w:style w:type="character" w:customStyle="1" w:styleId="CommentSubjectChar">
    <w:name w:val="Comment Subject Char"/>
    <w:basedOn w:val="CommentTextChar"/>
    <w:link w:val="CommentSubject"/>
    <w:uiPriority w:val="99"/>
    <w:semiHidden/>
    <w:rsid w:val="00F20C31"/>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scholar.google.co.id/citations?user=0kKMcLYAAAAJ&amp;hl=en" TargetMode="External"/><Relationship Id="rId26" Type="http://schemas.openxmlformats.org/officeDocument/2006/relationships/hyperlink" Target="https://orcid.org/0000-0002-7385-5689" TargetMode="External"/><Relationship Id="rId39" Type="http://schemas.openxmlformats.org/officeDocument/2006/relationships/header" Target="header3.xml"/><Relationship Id="rId21" Type="http://schemas.openxmlformats.org/officeDocument/2006/relationships/image" Target="media/image10.png"/><Relationship Id="rId34" Type="http://schemas.openxmlformats.org/officeDocument/2006/relationships/hyperlink" Target="https://publons.com/researcher/1332081/patricia-meli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1-8544-8995" TargetMode="External"/><Relationship Id="rId20" Type="http://schemas.openxmlformats.org/officeDocument/2006/relationships/hyperlink" Target="https://www.scopus.com/authid/detail.uri?authorId=6603317449" TargetMode="External"/><Relationship Id="rId29" Type="http://schemas.openxmlformats.org/officeDocument/2006/relationships/hyperlink" Target="https://publons.com/researcher/1331983/oscar-castill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hyperlink" Target="https://scholar.google.com/citations?user=Ts6JtfMAAAAJ&amp;hl=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publons.com/researcher/1354246/mekhilef-saad/" TargetMode="External"/><Relationship Id="rId28" Type="http://schemas.openxmlformats.org/officeDocument/2006/relationships/hyperlink" Target="https://www.scopus.com/authid/detail.uri?authorId=7007101709"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yperlink" Target="https://orcid.org/0000-0001-5798-14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pmuonline.com/guide/refstyle.pdf" TargetMode="External"/><Relationship Id="rId22" Type="http://schemas.openxmlformats.org/officeDocument/2006/relationships/image" Target="media/image11.svg"/><Relationship Id="rId27" Type="http://schemas.openxmlformats.org/officeDocument/2006/relationships/hyperlink" Target="https://scholar.google.com/citations?user=1C8gb8IAAAAJ&amp;hl=en" TargetMode="External"/><Relationship Id="rId30" Type="http://schemas.openxmlformats.org/officeDocument/2006/relationships/image" Target="media/image14.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hyperlink" Target="https://www.scopus.com/authid/detail.uri?authorId=7006491873"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9EE3-F220-48A0-A59A-238F018F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12971</Words>
  <Characters>73940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Ircham Ali</dc:creator>
  <cp:keywords/>
  <dc:description/>
  <cp:lastModifiedBy>Ircham Ali</cp:lastModifiedBy>
  <cp:revision>7</cp:revision>
  <cp:lastPrinted>2025-01-23T15:32:00Z</cp:lastPrinted>
  <dcterms:created xsi:type="dcterms:W3CDTF">2025-01-23T15:32:00Z</dcterms:created>
  <dcterms:modified xsi:type="dcterms:W3CDTF">2025-07-01T06:29:00Z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